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CA71D6" w:rsidRPr="00CA71D6">
              <w:rPr>
                <w:rFonts w:ascii="Times New Roman" w:hAnsi="Times New Roman" w:cs="Times New Roman"/>
                <w:lang w:val="en-GB"/>
              </w:rPr>
              <w:t>General Hospital “Sveti Luka”, Psychiatry Department, Smederevo, Knez Mihajlova 51, Smederevo,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9A0DD1">
              <w:rPr>
                <w:rFonts w:ascii="Times New Roman" w:hAnsi="Times New Roman" w:cs="Times New Roman"/>
                <w:lang w:val="en-GB"/>
              </w:rPr>
              <w:t>Organization of events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CA71D6" w:rsidRPr="00CA71D6">
              <w:rPr>
                <w:rFonts w:ascii="Times New Roman" w:hAnsi="Times New Roman"/>
                <w:lang w:val="en-GB"/>
              </w:rPr>
              <w:t>RORS9/GHPD Smederevo/TD3</w:t>
            </w:r>
          </w:p>
          <w:p w:rsidR="00056F91" w:rsidRPr="00E53649" w:rsidRDefault="00056F91" w:rsidP="00850697">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850697">
              <w:rPr>
                <w:rFonts w:ascii="Times New Roman" w:hAnsi="Times New Roman" w:cs="Times New Roman"/>
                <w:lang w:val="en-GB"/>
              </w:rPr>
              <w:t>24</w:t>
            </w:r>
            <w:r w:rsidR="00ED582B">
              <w:rPr>
                <w:rFonts w:ascii="Times New Roman" w:hAnsi="Times New Roman" w:cs="Times New Roman"/>
                <w:lang w:val="en-GB"/>
              </w:rPr>
              <w:t>/11</w:t>
            </w:r>
            <w:r w:rsidR="0023677C" w:rsidRPr="0023677C">
              <w:rPr>
                <w:rFonts w:ascii="Times New Roman" w:hAnsi="Times New Roman" w:cs="Times New Roman"/>
                <w:lang w:val="en-GB"/>
              </w:rPr>
              <w:t>/2017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3B5BA3">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850697">
        <w:rPr>
          <w:rFonts w:ascii="Times New Roman" w:hAnsi="Times New Roman" w:cs="Times New Roman"/>
          <w:b/>
          <w:bCs/>
          <w:sz w:val="24"/>
          <w:szCs w:val="24"/>
          <w:lang w:val="en-GB"/>
        </w:rPr>
        <w:t>07/12</w:t>
      </w:r>
      <w:r w:rsidR="0023677C" w:rsidRPr="0023677C">
        <w:rPr>
          <w:rFonts w:ascii="Times New Roman" w:hAnsi="Times New Roman" w:cs="Times New Roman"/>
          <w:b/>
          <w:bCs/>
          <w:sz w:val="24"/>
          <w:szCs w:val="24"/>
          <w:lang w:val="en-GB"/>
        </w:rPr>
        <w:t>/2017 at 09:00 CET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23677C">
        <w:rPr>
          <w:rFonts w:ascii="Times New Roman" w:hAnsi="Times New Roman" w:cs="Times New Roman"/>
          <w:sz w:val="24"/>
          <w:szCs w:val="24"/>
          <w:lang w:val="en-GB"/>
        </w:rPr>
        <w:t xml:space="preserve">The tenderers are reminded that the maximum available value of the contract is </w:t>
      </w:r>
      <w:r w:rsidR="00CA71D6">
        <w:rPr>
          <w:rFonts w:ascii="Times New Roman" w:hAnsi="Times New Roman" w:cs="Times New Roman"/>
          <w:sz w:val="24"/>
          <w:szCs w:val="24"/>
          <w:lang w:val="en-GB"/>
        </w:rPr>
        <w:t>15</w:t>
      </w:r>
      <w:r w:rsidR="002F4D3B" w:rsidRPr="0023677C">
        <w:rPr>
          <w:rFonts w:ascii="Times New Roman" w:hAnsi="Times New Roman" w:cs="Times New Roman"/>
          <w:sz w:val="24"/>
          <w:szCs w:val="24"/>
          <w:lang w:val="en-GB"/>
        </w:rPr>
        <w:t>.</w:t>
      </w:r>
      <w:r w:rsidR="00CA71D6">
        <w:rPr>
          <w:rFonts w:ascii="Times New Roman" w:hAnsi="Times New Roman" w:cs="Times New Roman"/>
          <w:sz w:val="24"/>
          <w:szCs w:val="24"/>
          <w:lang w:val="en-GB"/>
        </w:rPr>
        <w:t>3</w:t>
      </w:r>
      <w:r w:rsidR="002F4D3B" w:rsidRPr="0023677C">
        <w:rPr>
          <w:rFonts w:ascii="Times New Roman" w:hAnsi="Times New Roman" w:cs="Times New Roman"/>
          <w:sz w:val="24"/>
          <w:szCs w:val="24"/>
          <w:lang w:val="en-GB"/>
        </w:rPr>
        <w:t>00,00</w:t>
      </w:r>
      <w:r w:rsidRPr="0023677C">
        <w:rPr>
          <w:rFonts w:ascii="Times New Roman" w:hAnsi="Times New Roman" w:cs="Times New Roman"/>
          <w:sz w:val="24"/>
          <w:szCs w:val="24"/>
          <w:lang w:val="en-GB"/>
        </w:rPr>
        <w:t xml:space="preserve"> EUR</w:t>
      </w:r>
      <w:r w:rsidR="00AC3232">
        <w:rPr>
          <w:rFonts w:ascii="Times New Roman" w:hAnsi="Times New Roman" w:cs="Times New Roman"/>
          <w:sz w:val="24"/>
          <w:szCs w:val="24"/>
          <w:lang w:val="en-GB"/>
        </w:rPr>
        <w:t>.</w:t>
      </w:r>
      <w:r w:rsidR="002F4D3B" w:rsidRPr="0023677C">
        <w:rPr>
          <w:rFonts w:ascii="Times New Roman" w:hAnsi="Times New Roman" w:cs="Times New Roman"/>
          <w:sz w:val="24"/>
          <w:szCs w:val="24"/>
          <w:lang w:val="en-GB"/>
        </w:rPr>
        <w:t xml:space="preserve"> </w:t>
      </w:r>
    </w:p>
    <w:p w:rsidR="001A44A4" w:rsidRPr="006C5331" w:rsidRDefault="001A44A4"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E24A08">
        <w:rPr>
          <w:rFonts w:ascii="Times New Roman" w:hAnsi="Times New Roman" w:cs="Times New Roman"/>
          <w:sz w:val="24"/>
          <w:szCs w:val="24"/>
          <w:lang w:val="en-GB"/>
        </w:rPr>
        <w:t xml:space="preserve">amount in EUR </w:t>
      </w:r>
      <w:r w:rsidR="00E24A08" w:rsidRPr="00E24A08">
        <w:rPr>
          <w:rFonts w:ascii="Times New Roman" w:hAnsi="Times New Roman" w:cs="Times New Roman"/>
          <w:sz w:val="24"/>
          <w:szCs w:val="24"/>
          <w:lang w:val="en-GB"/>
        </w:rPr>
        <w:t>or</w:t>
      </w:r>
      <w:r w:rsidR="0023677C">
        <w:rPr>
          <w:rFonts w:ascii="Times New Roman" w:hAnsi="Times New Roman" w:cs="Times New Roman"/>
          <w:sz w:val="24"/>
          <w:szCs w:val="24"/>
          <w:lang w:val="en-GB"/>
        </w:rPr>
        <w:t xml:space="preserve"> </w:t>
      </w:r>
      <w:r w:rsidR="00E24A08" w:rsidRPr="00E24A08">
        <w:rPr>
          <w:rFonts w:ascii="Times New Roman" w:hAnsi="Times New Roman" w:cs="Times New Roman"/>
          <w:sz w:val="24"/>
          <w:szCs w:val="24"/>
          <w:lang w:val="en-GB"/>
        </w:rPr>
        <w:t>RSD</w:t>
      </w:r>
      <w:r w:rsidRPr="00E24A08">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E24A08">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24A08">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E24A08">
        <w:rPr>
          <w:rFonts w:ascii="Times New Roman" w:hAnsi="Times New Roman" w:cs="Times New Roman"/>
          <w:sz w:val="24"/>
          <w:szCs w:val="24"/>
          <w:lang w:val="en-GB"/>
        </w:rPr>
        <w:t>3</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855FE4">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In addition to the offer the tenderer is required to provide the following supporting documentation:</w:t>
      </w:r>
    </w:p>
    <w:p w:rsidR="00056F91" w:rsidRPr="002F4D3B" w:rsidRDefault="00056F91" w:rsidP="002F4D3B">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Copy of legal registration</w:t>
      </w:r>
      <w:r w:rsidRPr="00E24A08">
        <w:rPr>
          <w:rFonts w:ascii="Times New Roman" w:hAnsi="Times New Roman" w:cs="Times New Roman"/>
          <w:sz w:val="24"/>
          <w:szCs w:val="24"/>
          <w:vertAlign w:val="superscript"/>
          <w:lang w:val="en-GB"/>
        </w:rPr>
        <w:t>*only for Romanian beneficiaries</w:t>
      </w:r>
      <w:r w:rsidRPr="00E24A08">
        <w:rPr>
          <w:rFonts w:ascii="Times New Roman" w:hAnsi="Times New Roman" w:cs="Times New Roman"/>
          <w:sz w:val="24"/>
          <w:szCs w:val="24"/>
          <w:lang w:val="en-GB"/>
        </w:rPr>
        <w:t>(only if not publicly available for Contracting Authority to consult)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2F4D3B">
        <w:rPr>
          <w:rFonts w:ascii="Times New Roman" w:hAnsi="Times New Roman" w:cs="Times New Roman"/>
          <w:sz w:val="24"/>
          <w:szCs w:val="24"/>
          <w:lang w:val="en-GB"/>
        </w:rPr>
        <w:t>Organization of events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CA71D6" w:rsidRPr="00CA71D6">
        <w:rPr>
          <w:rFonts w:ascii="Times New Roman" w:hAnsi="Times New Roman" w:cs="Times New Roman"/>
          <w:sz w:val="24"/>
          <w:szCs w:val="24"/>
          <w:lang w:val="en-GB"/>
        </w:rPr>
        <w:t>RORS9/GHPD Smederevo/TD3</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AC3232">
        <w:rPr>
          <w:rFonts w:ascii="Times New Roman" w:hAnsi="Times New Roman" w:cs="Times New Roman"/>
          <w:sz w:val="24"/>
          <w:szCs w:val="24"/>
          <w:lang w:val="en-GB"/>
        </w:rPr>
        <w:t xml:space="preserve"> </w:t>
      </w:r>
      <w:r w:rsidR="00E24A08">
        <w:rPr>
          <w:rFonts w:ascii="Times New Roman" w:hAnsi="Times New Roman" w:cs="Times New Roman"/>
          <w:sz w:val="24"/>
          <w:szCs w:val="24"/>
          <w:lang w:val="en-GB"/>
        </w:rPr>
        <w:t>sastanka</w:t>
      </w:r>
      <w:r w:rsidR="00AC3232">
        <w:rPr>
          <w:rFonts w:ascii="Times New Roman" w:hAnsi="Times New Roman" w:cs="Times New Roman"/>
          <w:sz w:val="24"/>
          <w:szCs w:val="24"/>
          <w:lang w:val="en-GB"/>
        </w:rPr>
        <w:t xml:space="preserve"> </w:t>
      </w:r>
      <w:r w:rsidR="00E24A08">
        <w:rPr>
          <w:rFonts w:ascii="Times New Roman" w:hAnsi="Times New Roman" w:cs="Times New Roman"/>
          <w:sz w:val="24"/>
          <w:szCs w:val="24"/>
          <w:lang w:val="en-GB"/>
        </w:rPr>
        <w:t>za</w:t>
      </w:r>
      <w:r w:rsidR="00AC3232">
        <w:rPr>
          <w:rFonts w:ascii="Times New Roman" w:hAnsi="Times New Roman" w:cs="Times New Roman"/>
          <w:sz w:val="24"/>
          <w:szCs w:val="24"/>
          <w:lang w:val="en-GB"/>
        </w:rPr>
        <w:t xml:space="preserve"> </w:t>
      </w:r>
      <w:r w:rsidR="00E24A08">
        <w:rPr>
          <w:rFonts w:ascii="Times New Roman" w:hAnsi="Times New Roman" w:cs="Times New Roman"/>
          <w:sz w:val="24"/>
          <w:szCs w:val="24"/>
          <w:lang w:val="en-GB"/>
        </w:rPr>
        <w:t>otvaranje</w:t>
      </w:r>
      <w:r w:rsidR="00AC3232">
        <w:rPr>
          <w:rFonts w:ascii="Times New Roman" w:hAnsi="Times New Roman" w:cs="Times New Roman"/>
          <w:sz w:val="24"/>
          <w:szCs w:val="24"/>
          <w:lang w:val="en-GB"/>
        </w:rPr>
        <w:t xml:space="preserve"> </w:t>
      </w:r>
      <w:r w:rsidR="00E24A08">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CA71D6" w:rsidRDefault="00CA71D6" w:rsidP="00CA71D6">
      <w:pPr>
        <w:spacing w:after="0"/>
        <w:ind w:left="720"/>
        <w:jc w:val="both"/>
        <w:rPr>
          <w:rFonts w:ascii="Times New Roman" w:hAnsi="Times New Roman"/>
          <w:sz w:val="24"/>
          <w:szCs w:val="24"/>
          <w:lang w:val="en-GB"/>
        </w:rPr>
      </w:pPr>
      <w:r w:rsidRPr="00E24A08">
        <w:rPr>
          <w:rFonts w:ascii="Times New Roman" w:hAnsi="Times New Roman"/>
          <w:sz w:val="24"/>
          <w:szCs w:val="24"/>
          <w:lang w:val="en-GB"/>
        </w:rPr>
        <w:t xml:space="preserve">General Hospital "Sveti Luka" Smederevo, </w:t>
      </w:r>
    </w:p>
    <w:p w:rsidR="00CA71D6" w:rsidRPr="00E53649" w:rsidRDefault="00CA71D6" w:rsidP="00CA71D6">
      <w:pPr>
        <w:spacing w:after="0"/>
        <w:ind w:left="720"/>
        <w:jc w:val="both"/>
        <w:rPr>
          <w:rFonts w:ascii="Times New Roman" w:hAnsi="Times New Roman"/>
          <w:sz w:val="24"/>
          <w:szCs w:val="24"/>
          <w:highlight w:val="yellow"/>
          <w:lang w:val="en-GB"/>
        </w:rPr>
      </w:pPr>
      <w:r w:rsidRPr="00E24A08">
        <w:rPr>
          <w:rFonts w:ascii="Times New Roman" w:hAnsi="Times New Roman"/>
          <w:sz w:val="24"/>
          <w:szCs w:val="24"/>
          <w:lang w:val="en-GB"/>
        </w:rPr>
        <w:t>Knez Mihajlova St. No. 51, 11300 Smederevo</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487E8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sidRPr="00487E8E">
        <w:rPr>
          <w:rFonts w:ascii="Times New Roman" w:hAnsi="Times New Roman" w:cs="Times New Roman"/>
          <w:sz w:val="24"/>
          <w:szCs w:val="24"/>
          <w:lang w:val="en-GB"/>
        </w:rPr>
        <w:t xml:space="preserve">tenderers are required to provide services as indicated below. In the tenderer’s technical offer, the tenderers might indicate more details on the deliveries, referring back to the requirementsbelow. </w:t>
      </w:r>
    </w:p>
    <w:p w:rsidR="00056F91" w:rsidRPr="00487E8E" w:rsidRDefault="00056F91" w:rsidP="00855FE4">
      <w:pPr>
        <w:spacing w:after="0"/>
        <w:ind w:left="720"/>
        <w:jc w:val="both"/>
        <w:rPr>
          <w:rFonts w:ascii="Times New Roman" w:hAnsi="Times New Roman" w:cs="Times New Roman"/>
          <w:sz w:val="24"/>
          <w:szCs w:val="24"/>
          <w:lang w:val="en-GB"/>
        </w:rPr>
      </w:pPr>
    </w:p>
    <w:p w:rsidR="00056F91" w:rsidRPr="0023677C" w:rsidRDefault="00E5143D" w:rsidP="00855FE4">
      <w:pPr>
        <w:pStyle w:val="ListParagraph"/>
        <w:numPr>
          <w:ilvl w:val="1"/>
          <w:numId w:val="2"/>
        </w:numPr>
        <w:spacing w:after="0"/>
        <w:jc w:val="both"/>
        <w:rPr>
          <w:rFonts w:ascii="Times New Roman" w:hAnsi="Times New Roman" w:cs="Times New Roman"/>
          <w:b/>
          <w:sz w:val="24"/>
          <w:szCs w:val="24"/>
          <w:lang w:val="en-GB"/>
        </w:rPr>
      </w:pPr>
      <w:r w:rsidRPr="0023677C">
        <w:rPr>
          <w:rFonts w:ascii="Times New Roman" w:hAnsi="Times New Roman" w:cs="Times New Roman"/>
          <w:b/>
          <w:sz w:val="24"/>
          <w:szCs w:val="24"/>
          <w:lang w:val="en-GB"/>
        </w:rPr>
        <w:t xml:space="preserve">Activity 1: </w:t>
      </w:r>
      <w:r w:rsidR="00CA71D6">
        <w:rPr>
          <w:rFonts w:ascii="Times New Roman" w:hAnsi="Times New Roman" w:cs="Times New Roman"/>
          <w:b/>
          <w:sz w:val="24"/>
          <w:szCs w:val="24"/>
          <w:lang w:val="en-GB"/>
        </w:rPr>
        <w:t>Organization of 2</w:t>
      </w:r>
      <w:r w:rsidR="002F4D3B" w:rsidRPr="0023677C">
        <w:rPr>
          <w:rFonts w:ascii="Times New Roman" w:hAnsi="Times New Roman" w:cs="Times New Roman"/>
          <w:b/>
          <w:sz w:val="24"/>
          <w:szCs w:val="24"/>
          <w:lang w:val="en-GB"/>
        </w:rPr>
        <w:t xml:space="preserve"> round tables</w:t>
      </w:r>
    </w:p>
    <w:p w:rsidR="00056F91" w:rsidRPr="00487E8E" w:rsidRDefault="00056F91" w:rsidP="00855FE4">
      <w:pPr>
        <w:spacing w:after="0"/>
        <w:ind w:left="567" w:firstLine="141"/>
        <w:jc w:val="both"/>
        <w:rPr>
          <w:rFonts w:ascii="Times New Roman" w:hAnsi="Times New Roman" w:cs="Times New Roman"/>
          <w:i/>
          <w:iCs/>
          <w:sz w:val="24"/>
          <w:szCs w:val="24"/>
          <w:lang w:val="en-GB"/>
        </w:rPr>
      </w:pPr>
    </w:p>
    <w:p w:rsidR="00056F91" w:rsidRPr="00D90E89" w:rsidRDefault="00056F91" w:rsidP="00855FE4">
      <w:pPr>
        <w:spacing w:after="0"/>
        <w:jc w:val="both"/>
        <w:rPr>
          <w:rFonts w:ascii="Times New Roman" w:hAnsi="Times New Roman" w:cs="Times New Roman"/>
          <w:b/>
          <w:sz w:val="24"/>
          <w:szCs w:val="24"/>
          <w:lang w:val="en-GB"/>
        </w:rPr>
      </w:pPr>
      <w:r w:rsidRPr="00D90E89">
        <w:rPr>
          <w:rFonts w:ascii="Times New Roman" w:hAnsi="Times New Roman" w:cs="Times New Roman"/>
          <w:b/>
          <w:sz w:val="24"/>
          <w:szCs w:val="24"/>
          <w:lang w:val="en-GB"/>
        </w:rPr>
        <w:t>Description of expected outputs / results to be achieved</w:t>
      </w:r>
      <w:r w:rsidR="002F4D3B" w:rsidRPr="00D90E89">
        <w:rPr>
          <w:rFonts w:ascii="Times New Roman" w:hAnsi="Times New Roman" w:cs="Times New Roman"/>
          <w:b/>
          <w:sz w:val="24"/>
          <w:szCs w:val="24"/>
          <w:lang w:val="en-GB"/>
        </w:rPr>
        <w:t>:</w:t>
      </w:r>
    </w:p>
    <w:p w:rsidR="00056F91" w:rsidRPr="00487E8E" w:rsidRDefault="002F4D3B" w:rsidP="00855FE4">
      <w:pPr>
        <w:pStyle w:val="ListParagraph"/>
        <w:spacing w:after="0"/>
        <w:ind w:left="0" w:firstLine="708"/>
        <w:jc w:val="both"/>
        <w:rPr>
          <w:rFonts w:ascii="Times New Roman" w:hAnsi="Times New Roman" w:cs="Times New Roman"/>
          <w:sz w:val="24"/>
          <w:szCs w:val="24"/>
          <w:lang w:val="en-GB"/>
        </w:rPr>
      </w:pPr>
      <w:r w:rsidRPr="00487E8E">
        <w:rPr>
          <w:rFonts w:ascii="Times New Roman" w:hAnsi="Times New Roman" w:cs="Times New Roman"/>
          <w:sz w:val="24"/>
          <w:szCs w:val="24"/>
          <w:lang w:val="en-GB"/>
        </w:rPr>
        <w:t xml:space="preserve">The round tables are supposed to be organized in the City of </w:t>
      </w:r>
      <w:r w:rsidR="00CA71D6">
        <w:rPr>
          <w:rFonts w:ascii="Times New Roman" w:hAnsi="Times New Roman" w:cs="Times New Roman"/>
          <w:sz w:val="24"/>
          <w:szCs w:val="24"/>
          <w:lang w:val="en-GB"/>
        </w:rPr>
        <w:t>Smederevo</w:t>
      </w:r>
      <w:r w:rsidRPr="00487E8E">
        <w:rPr>
          <w:rFonts w:ascii="Times New Roman" w:hAnsi="Times New Roman" w:cs="Times New Roman"/>
          <w:sz w:val="24"/>
          <w:szCs w:val="24"/>
          <w:lang w:val="en-GB"/>
        </w:rPr>
        <w:t xml:space="preserve">, with 30 participants and each round table will last three days. The schedule for the round tables is as follows: </w:t>
      </w:r>
      <w:r w:rsidR="00BC1AE1" w:rsidRPr="00487E8E">
        <w:rPr>
          <w:rFonts w:ascii="Times New Roman" w:hAnsi="Times New Roman" w:cs="Times New Roman"/>
          <w:sz w:val="24"/>
          <w:szCs w:val="24"/>
          <w:lang w:val="en-GB"/>
        </w:rPr>
        <w:t>One in 2018 and one in 2019. All of the mentioned events should be organized in maximum 10 days following the request of the Contracting authority</w:t>
      </w:r>
      <w:r w:rsidR="00EE74C3">
        <w:rPr>
          <w:rFonts w:ascii="Times New Roman" w:hAnsi="Times New Roman" w:cs="Times New Roman"/>
          <w:sz w:val="24"/>
          <w:szCs w:val="24"/>
          <w:lang w:val="en-GB"/>
        </w:rPr>
        <w:t xml:space="preserve"> together with desired agenda of Event</w:t>
      </w:r>
      <w:r w:rsidR="00BC1AE1" w:rsidRPr="00487E8E">
        <w:rPr>
          <w:rFonts w:ascii="Times New Roman" w:hAnsi="Times New Roman" w:cs="Times New Roman"/>
          <w:sz w:val="24"/>
          <w:szCs w:val="24"/>
          <w:lang w:val="en-GB"/>
        </w:rPr>
        <w:t>.</w:t>
      </w:r>
    </w:p>
    <w:p w:rsidR="00BC1AE1" w:rsidRPr="00487E8E" w:rsidRDefault="00BC1AE1" w:rsidP="00855FE4">
      <w:pPr>
        <w:pStyle w:val="ListParagraph"/>
        <w:spacing w:after="0"/>
        <w:ind w:left="0" w:firstLine="708"/>
        <w:jc w:val="both"/>
        <w:rPr>
          <w:rFonts w:ascii="Times New Roman" w:hAnsi="Times New Roman" w:cs="Times New Roman"/>
          <w:sz w:val="24"/>
          <w:szCs w:val="24"/>
          <w:lang w:val="en-GB"/>
        </w:rPr>
      </w:pPr>
      <w:r w:rsidRPr="00487E8E">
        <w:rPr>
          <w:rFonts w:ascii="Times New Roman" w:hAnsi="Times New Roman" w:cs="Times New Roman"/>
          <w:sz w:val="24"/>
          <w:szCs w:val="24"/>
          <w:lang w:val="en-GB"/>
        </w:rPr>
        <w:t>The Contractor should perform the following activities for every event:</w:t>
      </w:r>
    </w:p>
    <w:p w:rsidR="002F4D3B" w:rsidRPr="00487E8E" w:rsidRDefault="00AB3D10" w:rsidP="004023F8">
      <w:pPr>
        <w:pStyle w:val="ListParagraph"/>
        <w:numPr>
          <w:ilvl w:val="0"/>
          <w:numId w:val="7"/>
        </w:numPr>
        <w:spacing w:after="0"/>
        <w:ind w:left="567" w:hanging="567"/>
        <w:jc w:val="both"/>
        <w:rPr>
          <w:rFonts w:ascii="Times New Roman" w:hAnsi="Times New Roman" w:cs="Times New Roman"/>
          <w:iCs/>
          <w:sz w:val="24"/>
          <w:szCs w:val="24"/>
          <w:lang w:val="en-GB"/>
        </w:rPr>
      </w:pPr>
      <w:r w:rsidRPr="00487E8E">
        <w:rPr>
          <w:rFonts w:ascii="Times New Roman" w:hAnsi="Times New Roman" w:cs="Times New Roman"/>
          <w:iCs/>
          <w:sz w:val="24"/>
          <w:szCs w:val="24"/>
          <w:lang w:val="en-GB"/>
        </w:rPr>
        <w:t>The Contractor should provide a conference room for three consecutive days, with air conditioning and adapted for at least 35 persons – t</w:t>
      </w:r>
      <w:bookmarkStart w:id="0" w:name="_GoBack"/>
      <w:bookmarkEnd w:id="0"/>
      <w:r w:rsidRPr="00487E8E">
        <w:rPr>
          <w:rFonts w:ascii="Times New Roman" w:hAnsi="Times New Roman" w:cs="Times New Roman"/>
          <w:iCs/>
          <w:sz w:val="24"/>
          <w:szCs w:val="24"/>
          <w:lang w:val="en-GB"/>
        </w:rPr>
        <w:t>he room will be used around 10 hours per day. The conference room needs to be tidy, well lit and able to accommodate a seminar/workshop type of conference, with cleaning services.</w:t>
      </w:r>
    </w:p>
    <w:p w:rsidR="00AB3D10" w:rsidRPr="00487E8E" w:rsidRDefault="00AB3D10" w:rsidP="004023F8">
      <w:pPr>
        <w:pStyle w:val="ListParagraph"/>
        <w:numPr>
          <w:ilvl w:val="0"/>
          <w:numId w:val="7"/>
        </w:numPr>
        <w:spacing w:after="0"/>
        <w:ind w:left="567" w:hanging="567"/>
        <w:jc w:val="both"/>
        <w:rPr>
          <w:rFonts w:ascii="Times New Roman" w:hAnsi="Times New Roman" w:cs="Times New Roman"/>
          <w:iCs/>
          <w:sz w:val="24"/>
          <w:szCs w:val="24"/>
          <w:lang w:val="en-GB"/>
        </w:rPr>
      </w:pPr>
      <w:r w:rsidRPr="00487E8E">
        <w:rPr>
          <w:rFonts w:ascii="Times New Roman" w:hAnsi="Times New Roman" w:cs="Times New Roman"/>
          <w:iCs/>
          <w:sz w:val="24"/>
          <w:szCs w:val="24"/>
          <w:lang w:val="en-GB"/>
        </w:rPr>
        <w:t>The Contractor should provide all necessary technical conditions for the realization of the round tables, which include: a computer (pref. laptop), a video projector, projection screen, a set up sound system and other accessories.</w:t>
      </w:r>
    </w:p>
    <w:p w:rsidR="00AB3D10" w:rsidRPr="00487E8E" w:rsidRDefault="00AB3D10" w:rsidP="004023F8">
      <w:pPr>
        <w:pStyle w:val="ListParagraph"/>
        <w:numPr>
          <w:ilvl w:val="0"/>
          <w:numId w:val="7"/>
        </w:numPr>
        <w:spacing w:after="0"/>
        <w:ind w:left="567" w:hanging="567"/>
        <w:jc w:val="both"/>
        <w:rPr>
          <w:rFonts w:ascii="Times New Roman" w:hAnsi="Times New Roman" w:cs="Times New Roman"/>
          <w:iCs/>
          <w:sz w:val="24"/>
          <w:szCs w:val="24"/>
          <w:lang w:val="en-GB"/>
        </w:rPr>
      </w:pPr>
      <w:r w:rsidRPr="00487E8E">
        <w:rPr>
          <w:rFonts w:ascii="Times New Roman" w:hAnsi="Times New Roman" w:cs="Times New Roman"/>
          <w:iCs/>
          <w:sz w:val="24"/>
          <w:szCs w:val="24"/>
          <w:lang w:val="en-GB"/>
        </w:rPr>
        <w:t>The Contractor should provide accommodation for 14 persons in single rooms, at an at least 3 star rated unit, for 2 nights. Mentioned accommodation cannot be more than 200 meters away from the conference room – in case it is any further, the Contractor must provide adequate transportation for 14 persons. The accommodation must include breakfast (for 14 people)</w:t>
      </w:r>
      <w:r w:rsidR="00814652" w:rsidRPr="00487E8E">
        <w:rPr>
          <w:rFonts w:ascii="Times New Roman" w:hAnsi="Times New Roman" w:cs="Times New Roman"/>
          <w:iCs/>
          <w:sz w:val="24"/>
          <w:szCs w:val="24"/>
          <w:lang w:val="en-GB"/>
        </w:rPr>
        <w:t xml:space="preserve"> for all-you-can-eat Swedish buffe</w:t>
      </w:r>
      <w:r w:rsidR="00B71A34">
        <w:rPr>
          <w:rFonts w:ascii="Times New Roman" w:hAnsi="Times New Roman" w:cs="Times New Roman"/>
          <w:iCs/>
          <w:sz w:val="24"/>
          <w:szCs w:val="24"/>
          <w:lang w:val="en-GB"/>
        </w:rPr>
        <w:t>t</w:t>
      </w:r>
      <w:r w:rsidR="00814652" w:rsidRPr="00487E8E">
        <w:rPr>
          <w:rFonts w:ascii="Times New Roman" w:hAnsi="Times New Roman" w:cs="Times New Roman"/>
          <w:iCs/>
          <w:sz w:val="24"/>
          <w:szCs w:val="24"/>
          <w:lang w:val="en-GB"/>
        </w:rPr>
        <w:t xml:space="preserve"> type, with coffee and soft drinks included.</w:t>
      </w:r>
    </w:p>
    <w:p w:rsidR="00814652" w:rsidRPr="00487E8E" w:rsidRDefault="00814652" w:rsidP="004023F8">
      <w:pPr>
        <w:pStyle w:val="ListParagraph"/>
        <w:numPr>
          <w:ilvl w:val="0"/>
          <w:numId w:val="7"/>
        </w:numPr>
        <w:spacing w:after="0"/>
        <w:ind w:left="567" w:hanging="567"/>
        <w:jc w:val="both"/>
        <w:rPr>
          <w:rFonts w:ascii="Times New Roman" w:hAnsi="Times New Roman" w:cs="Times New Roman"/>
          <w:iCs/>
          <w:sz w:val="24"/>
          <w:szCs w:val="24"/>
          <w:lang w:val="en-GB"/>
        </w:rPr>
      </w:pPr>
      <w:r w:rsidRPr="00487E8E">
        <w:rPr>
          <w:rFonts w:ascii="Times New Roman" w:hAnsi="Times New Roman" w:cs="Times New Roman"/>
          <w:iCs/>
          <w:sz w:val="24"/>
          <w:szCs w:val="24"/>
          <w:lang w:val="en-GB"/>
        </w:rPr>
        <w:t xml:space="preserve">The Contractor will provide meals (lunches) for 30 persons. The meals can be provided as catering, or in an adequate restaurant, which cannot be more than 200 meters away </w:t>
      </w:r>
      <w:r w:rsidRPr="00487E8E">
        <w:rPr>
          <w:rFonts w:ascii="Times New Roman" w:hAnsi="Times New Roman" w:cs="Times New Roman"/>
          <w:iCs/>
          <w:sz w:val="24"/>
          <w:szCs w:val="24"/>
          <w:lang w:val="en-GB"/>
        </w:rPr>
        <w:lastRenderedPageBreak/>
        <w:t>from the conference room – in case it is any further, the Contractor must provide adequate transportation for 30 persons for every meal. The Contractor needs to provide 2 lunches and 2 dinners – lunch will include at least the following: soup (200 ml per person), a choice of 2 main courses (1 with meat, 1 without and with a side dish – 450g per person), a salad (50g per person), carbonated and non-carbonated bottled water (500ml per person), coffee and tea (with milk and sugar) and bread. The dinner will include at least the following: cold starter dish (150g per person), 2 main courses (1 with meat, 1 without and with a side dish –450g per person), a salad (50g per person), dessert (50g per person), carbonated and non-carbonated bottled water (500ml per person), coffee and tea (with milk and sugar) and bread. The final menu will be discussed between the parties 3 days before the event. In case there are some special dietary needs, the CA will inform the Contractor 3 days before the start of the event. The timetable of servings will be organized in accordance with the programme of the conference. In case the Contractor chooses to organize catering services, he has to provide adeq</w:t>
      </w:r>
      <w:r w:rsidR="004023F8" w:rsidRPr="00487E8E">
        <w:rPr>
          <w:rFonts w:ascii="Times New Roman" w:hAnsi="Times New Roman" w:cs="Times New Roman"/>
          <w:iCs/>
          <w:sz w:val="24"/>
          <w:szCs w:val="24"/>
          <w:lang w:val="en-GB"/>
        </w:rPr>
        <w:t>uate cutlery, porcelain plates and other adequate table decorations and arrangements.</w:t>
      </w:r>
    </w:p>
    <w:p w:rsidR="004023F8" w:rsidRPr="00487E8E" w:rsidRDefault="004023F8" w:rsidP="004023F8">
      <w:pPr>
        <w:pStyle w:val="ListParagraph"/>
        <w:numPr>
          <w:ilvl w:val="0"/>
          <w:numId w:val="7"/>
        </w:numPr>
        <w:spacing w:after="0"/>
        <w:ind w:left="567" w:hanging="567"/>
        <w:jc w:val="both"/>
        <w:rPr>
          <w:rFonts w:ascii="Times New Roman" w:hAnsi="Times New Roman" w:cs="Times New Roman"/>
          <w:iCs/>
          <w:sz w:val="24"/>
          <w:szCs w:val="24"/>
          <w:lang w:val="en-GB"/>
        </w:rPr>
      </w:pPr>
      <w:r w:rsidRPr="00487E8E">
        <w:rPr>
          <w:rFonts w:ascii="Times New Roman" w:hAnsi="Times New Roman" w:cs="Times New Roman"/>
          <w:iCs/>
          <w:sz w:val="24"/>
          <w:szCs w:val="24"/>
          <w:lang w:val="en-GB"/>
        </w:rPr>
        <w:t>The Contractor will provide catering services for coffee breaks, for 30 people. Breaks will be organized in accordance with the programme of the conference and there will be 4 of them, all held in the conference room or an adjoining room, suited for such break. Each coffee break will at least include: a pastry offer (200g per person), carbonated or non-carbonated bottled water and soft drinks (500ml per person), a dessert (50g per person), coffee and tea (with milk and sugar – 1 piece per person). The Contractor will also provide glasses, cups and adequate arrangement of the venue.</w:t>
      </w:r>
    </w:p>
    <w:p w:rsidR="004023F8" w:rsidRPr="00487E8E" w:rsidRDefault="004023F8" w:rsidP="004023F8">
      <w:pPr>
        <w:pStyle w:val="ListParagraph"/>
        <w:numPr>
          <w:ilvl w:val="0"/>
          <w:numId w:val="7"/>
        </w:numPr>
        <w:spacing w:after="0"/>
        <w:ind w:left="567" w:hanging="567"/>
        <w:jc w:val="both"/>
        <w:rPr>
          <w:rFonts w:ascii="Times New Roman" w:hAnsi="Times New Roman" w:cs="Times New Roman"/>
          <w:iCs/>
          <w:sz w:val="24"/>
          <w:szCs w:val="24"/>
          <w:lang w:val="en-GB"/>
        </w:rPr>
      </w:pPr>
      <w:r w:rsidRPr="00487E8E">
        <w:rPr>
          <w:rFonts w:ascii="Times New Roman" w:hAnsi="Times New Roman" w:cs="Times New Roman"/>
          <w:iCs/>
          <w:sz w:val="24"/>
          <w:szCs w:val="24"/>
          <w:lang w:val="en-GB"/>
        </w:rPr>
        <w:t>The Contractor will provide printed conference materials (35 folders, 35 hand-outs – up to 20 pages).</w:t>
      </w:r>
      <w:r w:rsidR="0023677C">
        <w:rPr>
          <w:rFonts w:ascii="Times New Roman" w:hAnsi="Times New Roman" w:cs="Times New Roman"/>
          <w:iCs/>
          <w:sz w:val="24"/>
          <w:szCs w:val="24"/>
          <w:lang w:val="en-GB"/>
        </w:rPr>
        <w:t xml:space="preserve"> Graphic Design will be provided by Contracting Authority.</w:t>
      </w:r>
    </w:p>
    <w:p w:rsidR="004023F8" w:rsidRPr="00487E8E" w:rsidRDefault="004023F8" w:rsidP="004023F8">
      <w:pPr>
        <w:pStyle w:val="ListParagraph"/>
        <w:numPr>
          <w:ilvl w:val="0"/>
          <w:numId w:val="7"/>
        </w:numPr>
        <w:spacing w:after="0"/>
        <w:ind w:left="567" w:hanging="567"/>
        <w:jc w:val="both"/>
        <w:rPr>
          <w:rFonts w:ascii="Times New Roman" w:hAnsi="Times New Roman" w:cs="Times New Roman"/>
          <w:iCs/>
          <w:sz w:val="24"/>
          <w:szCs w:val="24"/>
          <w:lang w:val="en-GB"/>
        </w:rPr>
      </w:pPr>
      <w:r w:rsidRPr="00487E8E">
        <w:rPr>
          <w:rFonts w:ascii="Times New Roman" w:hAnsi="Times New Roman" w:cs="Times New Roman"/>
          <w:iCs/>
          <w:sz w:val="24"/>
          <w:szCs w:val="24"/>
          <w:lang w:val="en-GB"/>
        </w:rPr>
        <w:t>The Contractor will also take photographs of the conference and provide printed out attendance lists.</w:t>
      </w:r>
    </w:p>
    <w:p w:rsidR="00AB3D10" w:rsidRDefault="004023F8" w:rsidP="004023F8">
      <w:pPr>
        <w:pStyle w:val="ListParagraph"/>
        <w:numPr>
          <w:ilvl w:val="0"/>
          <w:numId w:val="7"/>
        </w:numPr>
        <w:spacing w:after="0"/>
        <w:ind w:left="567" w:hanging="567"/>
        <w:jc w:val="both"/>
        <w:rPr>
          <w:rFonts w:ascii="Times New Roman" w:hAnsi="Times New Roman" w:cs="Times New Roman"/>
          <w:iCs/>
          <w:sz w:val="24"/>
          <w:szCs w:val="24"/>
          <w:lang w:val="en-GB"/>
        </w:rPr>
      </w:pPr>
      <w:r w:rsidRPr="00487E8E">
        <w:rPr>
          <w:rFonts w:ascii="Times New Roman" w:hAnsi="Times New Roman" w:cs="Times New Roman"/>
          <w:iCs/>
          <w:sz w:val="24"/>
          <w:szCs w:val="24"/>
          <w:lang w:val="en-GB"/>
        </w:rPr>
        <w:t>The Contractor must also comply with the latest Communication and Visibility Manual for EU External Actions concerning acknowledgement of EU financing of the project. (See https://ec.europa.eu/europeaid/communication-and-visibility-manual-eu-external-actions_en.)</w:t>
      </w:r>
    </w:p>
    <w:p w:rsidR="0023677C" w:rsidRDefault="0023677C" w:rsidP="0023677C">
      <w:pPr>
        <w:pStyle w:val="ListParagraph"/>
        <w:spacing w:after="0"/>
        <w:ind w:left="567"/>
        <w:jc w:val="both"/>
        <w:rPr>
          <w:rFonts w:ascii="Times New Roman" w:hAnsi="Times New Roman" w:cs="Times New Roman"/>
          <w:iCs/>
          <w:sz w:val="24"/>
          <w:szCs w:val="24"/>
          <w:lang w:val="en-GB"/>
        </w:rPr>
      </w:pPr>
    </w:p>
    <w:p w:rsidR="0023677C" w:rsidRPr="00D90E89" w:rsidRDefault="0023677C" w:rsidP="0023677C">
      <w:pPr>
        <w:pStyle w:val="Heading1"/>
      </w:pPr>
      <w:r>
        <w:tab/>
      </w:r>
      <w:r w:rsidRPr="00D90E89">
        <w:t>Required inputs</w:t>
      </w:r>
    </w:p>
    <w:p w:rsidR="0023677C" w:rsidRPr="00E53649" w:rsidRDefault="0023677C" w:rsidP="0023677C">
      <w:pPr>
        <w:pStyle w:val="BodyText"/>
        <w:spacing w:after="0" w:line="276" w:lineRule="auto"/>
        <w:rPr>
          <w:rFonts w:ascii="Times New Roman" w:hAnsi="Times New Roman" w:cs="Times New Roman"/>
          <w:i/>
          <w:iCs/>
        </w:rPr>
      </w:pPr>
      <w:r>
        <w:rPr>
          <w:rFonts w:ascii="Times New Roman" w:hAnsi="Times New Roman" w:cs="Times New Roman"/>
          <w:iCs/>
          <w:lang w:eastAsia="en-US"/>
        </w:rPr>
        <w:tab/>
      </w:r>
      <w:r w:rsidRPr="009422BF">
        <w:rPr>
          <w:rFonts w:ascii="Times New Roman" w:hAnsi="Times New Roman" w:cs="Times New Roman"/>
          <w:iCs/>
          <w:lang w:eastAsia="en-US"/>
        </w:rPr>
        <w:t>Experience in e</w:t>
      </w:r>
      <w:r>
        <w:rPr>
          <w:rFonts w:ascii="Times New Roman" w:hAnsi="Times New Roman" w:cs="Times New Roman"/>
          <w:iCs/>
          <w:lang w:eastAsia="en-US"/>
        </w:rPr>
        <w:t>vent organization services</w:t>
      </w:r>
      <w:r w:rsidRPr="009422BF">
        <w:rPr>
          <w:rFonts w:ascii="Times New Roman" w:hAnsi="Times New Roman" w:cs="Times New Roman"/>
          <w:iCs/>
          <w:lang w:eastAsia="en-US"/>
        </w:rPr>
        <w:t>.</w:t>
      </w:r>
      <w:r>
        <w:rPr>
          <w:rFonts w:ascii="Times New Roman" w:hAnsi="Times New Roman" w:cs="Times New Roman"/>
          <w:iCs/>
          <w:lang w:eastAsia="en-US"/>
        </w:rPr>
        <w:t xml:space="preserve"> </w:t>
      </w:r>
      <w:r w:rsidR="00B1155B" w:rsidRPr="009628AB">
        <w:rPr>
          <w:rFonts w:ascii="Times New Roman" w:hAnsi="Times New Roman" w:cs="Times New Roman"/>
          <w:iCs/>
        </w:rPr>
        <w:t>Personnel, premises, supplies, equipment and other backstopping support required for service contract implementation</w:t>
      </w:r>
    </w:p>
    <w:p w:rsidR="0023677C" w:rsidRPr="00E53649" w:rsidRDefault="0023677C" w:rsidP="0023677C">
      <w:pPr>
        <w:pStyle w:val="ListParagraph"/>
        <w:spacing w:after="0"/>
        <w:jc w:val="both"/>
        <w:rPr>
          <w:rFonts w:ascii="Times New Roman" w:hAnsi="Times New Roman" w:cs="Times New Roman"/>
          <w:i/>
          <w:iCs/>
          <w:sz w:val="24"/>
          <w:szCs w:val="24"/>
          <w:lang w:val="en-GB"/>
        </w:rPr>
      </w:pPr>
    </w:p>
    <w:p w:rsidR="0023677C" w:rsidRPr="00D90E89" w:rsidRDefault="0023677C" w:rsidP="0023677C">
      <w:pPr>
        <w:pStyle w:val="Heading1"/>
      </w:pPr>
      <w:r>
        <w:tab/>
      </w:r>
      <w:r w:rsidRPr="00D90E89">
        <w:t>Required time frame</w:t>
      </w:r>
    </w:p>
    <w:p w:rsidR="0023677C" w:rsidRPr="00487E8E" w:rsidRDefault="0023677C" w:rsidP="0023677C">
      <w:pPr>
        <w:pStyle w:val="ListParagraph"/>
        <w:spacing w:after="0"/>
        <w:ind w:left="567"/>
        <w:jc w:val="both"/>
        <w:rPr>
          <w:rFonts w:ascii="Times New Roman" w:hAnsi="Times New Roman" w:cs="Times New Roman"/>
          <w:iCs/>
          <w:sz w:val="24"/>
          <w:szCs w:val="24"/>
          <w:lang w:val="en-GB"/>
        </w:rPr>
      </w:pPr>
      <w:r>
        <w:rPr>
          <w:rFonts w:ascii="Times New Roman" w:hAnsi="Times New Roman" w:cs="Times New Roman"/>
          <w:i/>
          <w:iCs/>
          <w:sz w:val="24"/>
          <w:szCs w:val="24"/>
          <w:lang w:val="en-GB"/>
        </w:rPr>
        <w:tab/>
      </w:r>
      <w:r w:rsidR="00B1155B" w:rsidRPr="009628AB">
        <w:rPr>
          <w:rFonts w:ascii="Times New Roman" w:hAnsi="Times New Roman" w:cs="Times New Roman"/>
          <w:i/>
          <w:iCs/>
          <w:sz w:val="24"/>
          <w:szCs w:val="24"/>
          <w:lang w:val="en-GB"/>
        </w:rPr>
        <w:t>Overall timeframe for this service will be</w:t>
      </w:r>
      <w:r w:rsidR="00B1155B">
        <w:rPr>
          <w:rFonts w:ascii="Times New Roman" w:hAnsi="Times New Roman" w:cs="Times New Roman"/>
          <w:i/>
          <w:iCs/>
          <w:sz w:val="24"/>
          <w:szCs w:val="24"/>
          <w:lang w:val="en-GB"/>
        </w:rPr>
        <w:t xml:space="preserve">  </w:t>
      </w:r>
      <w:r>
        <w:rPr>
          <w:rFonts w:ascii="Times New Roman" w:hAnsi="Times New Roman" w:cs="Times New Roman"/>
          <w:i/>
          <w:iCs/>
          <w:sz w:val="24"/>
          <w:szCs w:val="24"/>
          <w:lang w:val="en-GB"/>
        </w:rPr>
        <w:t xml:space="preserve">November 2017 - </w:t>
      </w:r>
      <w:r w:rsidR="000214A6">
        <w:rPr>
          <w:rFonts w:ascii="Times New Roman" w:hAnsi="Times New Roman" w:cs="Times New Roman"/>
          <w:i/>
          <w:iCs/>
          <w:sz w:val="24"/>
          <w:szCs w:val="24"/>
          <w:lang w:val="en-GB"/>
        </w:rPr>
        <w:t>May</w:t>
      </w:r>
      <w:r>
        <w:rPr>
          <w:rFonts w:ascii="Times New Roman" w:hAnsi="Times New Roman" w:cs="Times New Roman"/>
          <w:i/>
          <w:iCs/>
          <w:sz w:val="24"/>
          <w:szCs w:val="24"/>
          <w:lang w:val="en-GB"/>
        </w:rPr>
        <w:t xml:space="preserve"> 2019.</w:t>
      </w:r>
    </w:p>
    <w:p w:rsidR="00CB1225" w:rsidRDefault="00CB1225" w:rsidP="00CB1225">
      <w:pPr>
        <w:spacing w:after="0"/>
        <w:jc w:val="both"/>
        <w:rPr>
          <w:rFonts w:ascii="Times New Roman" w:hAnsi="Times New Roman" w:cs="Times New Roman"/>
          <w:iCs/>
          <w:sz w:val="24"/>
          <w:szCs w:val="24"/>
        </w:rPr>
      </w:pPr>
    </w:p>
    <w:p w:rsidR="000A1DF2" w:rsidRDefault="000A1DF2" w:rsidP="00CB1225">
      <w:pPr>
        <w:spacing w:after="0"/>
        <w:jc w:val="both"/>
        <w:rPr>
          <w:rFonts w:ascii="Times New Roman" w:hAnsi="Times New Roman" w:cs="Times New Roman"/>
          <w:iCs/>
          <w:sz w:val="24"/>
          <w:szCs w:val="24"/>
        </w:rPr>
      </w:pPr>
    </w:p>
    <w:p w:rsidR="00AC3232" w:rsidRDefault="00AC3232" w:rsidP="00CB1225">
      <w:pPr>
        <w:spacing w:after="0"/>
        <w:jc w:val="both"/>
        <w:rPr>
          <w:rFonts w:ascii="Times New Roman" w:hAnsi="Times New Roman" w:cs="Times New Roman"/>
          <w:iCs/>
          <w:sz w:val="24"/>
          <w:szCs w:val="24"/>
        </w:rPr>
      </w:pPr>
    </w:p>
    <w:p w:rsidR="00AC3232" w:rsidRDefault="00AC3232" w:rsidP="00CB1225">
      <w:pPr>
        <w:spacing w:after="0"/>
        <w:jc w:val="both"/>
        <w:rPr>
          <w:rFonts w:ascii="Times New Roman" w:hAnsi="Times New Roman" w:cs="Times New Roman"/>
          <w:iCs/>
          <w:sz w:val="24"/>
          <w:szCs w:val="24"/>
        </w:rPr>
      </w:pPr>
    </w:p>
    <w:p w:rsidR="00AC3232" w:rsidRDefault="00AC3232" w:rsidP="00CB1225">
      <w:pPr>
        <w:spacing w:after="0"/>
        <w:jc w:val="both"/>
        <w:rPr>
          <w:rFonts w:ascii="Times New Roman" w:hAnsi="Times New Roman" w:cs="Times New Roman"/>
          <w:iCs/>
          <w:sz w:val="24"/>
          <w:szCs w:val="24"/>
        </w:rPr>
      </w:pPr>
    </w:p>
    <w:p w:rsidR="00CB1225" w:rsidRPr="0023677C" w:rsidRDefault="00CB1225" w:rsidP="00CB1225">
      <w:pPr>
        <w:pStyle w:val="ListParagraph"/>
        <w:numPr>
          <w:ilvl w:val="1"/>
          <w:numId w:val="2"/>
        </w:numPr>
        <w:spacing w:after="0"/>
        <w:jc w:val="both"/>
        <w:rPr>
          <w:rFonts w:ascii="Times New Roman" w:hAnsi="Times New Roman" w:cs="Times New Roman"/>
          <w:b/>
          <w:sz w:val="24"/>
          <w:szCs w:val="24"/>
          <w:lang w:val="en-GB"/>
        </w:rPr>
      </w:pPr>
      <w:r w:rsidRPr="0023677C">
        <w:rPr>
          <w:rFonts w:ascii="Times New Roman" w:hAnsi="Times New Roman" w:cs="Times New Roman"/>
          <w:b/>
          <w:sz w:val="24"/>
          <w:szCs w:val="24"/>
          <w:lang w:val="en-GB"/>
        </w:rPr>
        <w:lastRenderedPageBreak/>
        <w:t xml:space="preserve">Activity </w:t>
      </w:r>
      <w:r w:rsidRPr="0023677C">
        <w:rPr>
          <w:rFonts w:ascii="Times New Roman" w:hAnsi="Times New Roman" w:cs="Times New Roman"/>
          <w:b/>
          <w:sz w:val="24"/>
          <w:szCs w:val="24"/>
        </w:rPr>
        <w:t>2</w:t>
      </w:r>
      <w:r w:rsidRPr="0023677C">
        <w:rPr>
          <w:rFonts w:ascii="Times New Roman" w:hAnsi="Times New Roman" w:cs="Times New Roman"/>
          <w:b/>
          <w:sz w:val="24"/>
          <w:szCs w:val="24"/>
          <w:lang w:val="en-GB"/>
        </w:rPr>
        <w:t xml:space="preserve">: Organization of </w:t>
      </w:r>
      <w:r w:rsidR="00CA71D6">
        <w:rPr>
          <w:rFonts w:ascii="Times New Roman" w:hAnsi="Times New Roman" w:cs="Times New Roman"/>
          <w:b/>
          <w:sz w:val="24"/>
          <w:szCs w:val="24"/>
          <w:lang w:val="en-GB"/>
        </w:rPr>
        <w:t xml:space="preserve">3 </w:t>
      </w:r>
      <w:r w:rsidRPr="0023677C">
        <w:rPr>
          <w:rFonts w:ascii="Times New Roman" w:hAnsi="Times New Roman" w:cs="Times New Roman"/>
          <w:b/>
          <w:sz w:val="24"/>
          <w:szCs w:val="24"/>
          <w:lang w:val="en-US"/>
        </w:rPr>
        <w:t>p</w:t>
      </w:r>
      <w:r w:rsidRPr="0023677C">
        <w:rPr>
          <w:rFonts w:ascii="Times New Roman" w:hAnsi="Times New Roman" w:cs="Times New Roman"/>
          <w:b/>
          <w:sz w:val="24"/>
          <w:szCs w:val="24"/>
        </w:rPr>
        <w:t>romo conferences</w:t>
      </w:r>
    </w:p>
    <w:p w:rsidR="00CB1225" w:rsidRPr="00487E8E" w:rsidRDefault="00CB1225" w:rsidP="00CB1225">
      <w:pPr>
        <w:spacing w:after="0"/>
        <w:jc w:val="both"/>
        <w:rPr>
          <w:rFonts w:ascii="Times New Roman" w:hAnsi="Times New Roman" w:cs="Times New Roman"/>
          <w:sz w:val="24"/>
          <w:szCs w:val="24"/>
          <w:lang w:val="en-GB"/>
        </w:rPr>
      </w:pPr>
    </w:p>
    <w:p w:rsidR="00CB1225" w:rsidRPr="00487E8E" w:rsidRDefault="00CB1225" w:rsidP="00CB1225">
      <w:pPr>
        <w:spacing w:after="0"/>
        <w:jc w:val="both"/>
        <w:rPr>
          <w:rFonts w:ascii="Times New Roman" w:hAnsi="Times New Roman" w:cs="Times New Roman"/>
          <w:sz w:val="24"/>
          <w:szCs w:val="24"/>
          <w:lang w:val="en-GB"/>
        </w:rPr>
      </w:pPr>
      <w:r w:rsidRPr="00487E8E">
        <w:rPr>
          <w:rFonts w:ascii="Times New Roman" w:hAnsi="Times New Roman" w:cs="Times New Roman"/>
          <w:sz w:val="24"/>
          <w:szCs w:val="24"/>
          <w:lang w:val="en-GB"/>
        </w:rPr>
        <w:t xml:space="preserve">The promotional conferences will be organized in the City of </w:t>
      </w:r>
      <w:r w:rsidR="00CA71D6">
        <w:rPr>
          <w:rFonts w:ascii="Times New Roman" w:hAnsi="Times New Roman" w:cs="Times New Roman"/>
          <w:sz w:val="24"/>
          <w:szCs w:val="24"/>
          <w:lang w:val="en-GB"/>
        </w:rPr>
        <w:t>Smederevo</w:t>
      </w:r>
      <w:r w:rsidRPr="00487E8E">
        <w:rPr>
          <w:rFonts w:ascii="Times New Roman" w:hAnsi="Times New Roman" w:cs="Times New Roman"/>
          <w:sz w:val="24"/>
          <w:szCs w:val="24"/>
          <w:lang w:val="en-GB"/>
        </w:rPr>
        <w:t>, with 15 participants and each event will last ~6 hours. All three conferences will be organized within the period of one year, starting from May 2018, until May 2019. The events need to be organized in 10 days, following the request of the CA</w:t>
      </w:r>
      <w:r w:rsidR="00EE74C3">
        <w:rPr>
          <w:rFonts w:ascii="Times New Roman" w:hAnsi="Times New Roman" w:cs="Times New Roman"/>
          <w:sz w:val="24"/>
          <w:szCs w:val="24"/>
          <w:lang w:val="en-GB"/>
        </w:rPr>
        <w:t xml:space="preserve"> together with desired agenda of event</w:t>
      </w:r>
      <w:r w:rsidRPr="00487E8E">
        <w:rPr>
          <w:rFonts w:ascii="Times New Roman" w:hAnsi="Times New Roman" w:cs="Times New Roman"/>
          <w:sz w:val="24"/>
          <w:szCs w:val="24"/>
          <w:lang w:val="en-GB"/>
        </w:rPr>
        <w:t>.</w:t>
      </w:r>
    </w:p>
    <w:p w:rsidR="00CB1225" w:rsidRPr="00487E8E" w:rsidRDefault="00CB1225" w:rsidP="00CB1225">
      <w:pPr>
        <w:spacing w:after="0"/>
        <w:jc w:val="both"/>
        <w:rPr>
          <w:rFonts w:ascii="Times New Roman" w:hAnsi="Times New Roman" w:cs="Times New Roman"/>
          <w:sz w:val="24"/>
          <w:szCs w:val="24"/>
          <w:lang w:val="en-GB"/>
        </w:rPr>
      </w:pPr>
      <w:r w:rsidRPr="00487E8E">
        <w:rPr>
          <w:rFonts w:ascii="Times New Roman" w:hAnsi="Times New Roman" w:cs="Times New Roman"/>
          <w:sz w:val="24"/>
          <w:szCs w:val="24"/>
          <w:lang w:val="en-GB"/>
        </w:rPr>
        <w:tab/>
        <w:t>The Contractor should perform the following activities</w:t>
      </w:r>
      <w:r w:rsidR="006756AB" w:rsidRPr="00487E8E">
        <w:rPr>
          <w:rFonts w:ascii="Times New Roman" w:hAnsi="Times New Roman" w:cs="Times New Roman"/>
          <w:sz w:val="24"/>
          <w:szCs w:val="24"/>
          <w:lang w:val="en-GB"/>
        </w:rPr>
        <w:t>, per event</w:t>
      </w:r>
      <w:r w:rsidRPr="00487E8E">
        <w:rPr>
          <w:rFonts w:ascii="Times New Roman" w:hAnsi="Times New Roman" w:cs="Times New Roman"/>
          <w:sz w:val="24"/>
          <w:szCs w:val="24"/>
          <w:lang w:val="en-GB"/>
        </w:rPr>
        <w:t>:</w:t>
      </w:r>
    </w:p>
    <w:p w:rsidR="00CB1225" w:rsidRPr="009422BF" w:rsidRDefault="00CB1225" w:rsidP="009422BF">
      <w:pPr>
        <w:pStyle w:val="ListParagraph"/>
        <w:numPr>
          <w:ilvl w:val="0"/>
          <w:numId w:val="9"/>
        </w:numPr>
        <w:spacing w:after="0"/>
        <w:ind w:left="567" w:hanging="567"/>
        <w:jc w:val="both"/>
        <w:rPr>
          <w:rFonts w:ascii="Times New Roman" w:hAnsi="Times New Roman" w:cs="Times New Roman"/>
          <w:sz w:val="24"/>
          <w:szCs w:val="24"/>
          <w:lang w:val="en-GB"/>
        </w:rPr>
      </w:pPr>
      <w:r w:rsidRPr="009422BF">
        <w:rPr>
          <w:rFonts w:ascii="Times New Roman" w:hAnsi="Times New Roman" w:cs="Times New Roman"/>
          <w:sz w:val="24"/>
          <w:szCs w:val="24"/>
          <w:lang w:val="en-GB"/>
        </w:rPr>
        <w:t>The Contractor will provide a conference room, with air-conditioning and seating for at least 15 persons. The Contractor will also provide cleaning services and other venue arrangements.</w:t>
      </w:r>
    </w:p>
    <w:p w:rsidR="006756AB" w:rsidRPr="009422BF" w:rsidRDefault="00CB1225" w:rsidP="009422BF">
      <w:pPr>
        <w:pStyle w:val="ListParagraph"/>
        <w:numPr>
          <w:ilvl w:val="0"/>
          <w:numId w:val="9"/>
        </w:numPr>
        <w:spacing w:after="0"/>
        <w:ind w:left="567" w:hanging="567"/>
        <w:jc w:val="both"/>
        <w:rPr>
          <w:rFonts w:ascii="Times New Roman" w:hAnsi="Times New Roman" w:cs="Times New Roman"/>
          <w:sz w:val="24"/>
          <w:szCs w:val="24"/>
          <w:lang w:val="en-GB"/>
        </w:rPr>
      </w:pPr>
      <w:r w:rsidRPr="009422BF">
        <w:rPr>
          <w:rFonts w:ascii="Times New Roman" w:hAnsi="Times New Roman" w:cs="Times New Roman"/>
          <w:sz w:val="24"/>
          <w:szCs w:val="24"/>
          <w:lang w:val="en-GB"/>
        </w:rPr>
        <w:t xml:space="preserve">The Contractor will provide a cocktail break for 15 people, which will include at least: 3 cold starters (100g per person), 2 warm starters (100g per person), 2 soups (100ml per person), 3 main courses (2 with meat, 1 without and with a side dish – 350g per person), 2 salads (50g per person), 2 desserts (50g per person), </w:t>
      </w:r>
      <w:r w:rsidR="006756AB" w:rsidRPr="009422BF">
        <w:rPr>
          <w:rFonts w:ascii="Times New Roman" w:hAnsi="Times New Roman" w:cs="Times New Roman"/>
          <w:iCs/>
          <w:sz w:val="24"/>
          <w:szCs w:val="24"/>
          <w:lang w:val="en-GB"/>
        </w:rPr>
        <w:t>carbonated or non-carbonated bottled water and soft drinks (500ml per person), (50g per person), coffee and tea (with milk and sugar – 1 piece per person) and bread</w:t>
      </w:r>
      <w:r w:rsidRPr="009422BF">
        <w:rPr>
          <w:rFonts w:ascii="Times New Roman" w:hAnsi="Times New Roman" w:cs="Times New Roman"/>
          <w:sz w:val="24"/>
          <w:szCs w:val="24"/>
          <w:lang w:val="en-GB"/>
        </w:rPr>
        <w:t>. The final menu will be discussed between the parties 3 days before the event. In case there are some special dietary needs, the Contracting Authority will inform the Contractor 3 days before the event. The Contractor will provide th</w:t>
      </w:r>
      <w:r w:rsidR="006756AB" w:rsidRPr="009422BF">
        <w:rPr>
          <w:rFonts w:ascii="Times New Roman" w:hAnsi="Times New Roman" w:cs="Times New Roman"/>
          <w:sz w:val="24"/>
          <w:szCs w:val="24"/>
          <w:lang w:val="en-GB"/>
        </w:rPr>
        <w:t>e cutlery and porcelain plates. A</w:t>
      </w:r>
      <w:r w:rsidRPr="009422BF">
        <w:rPr>
          <w:rFonts w:ascii="Times New Roman" w:hAnsi="Times New Roman" w:cs="Times New Roman"/>
          <w:sz w:val="24"/>
          <w:szCs w:val="24"/>
          <w:lang w:val="en-GB"/>
        </w:rPr>
        <w:t>lso</w:t>
      </w:r>
      <w:r w:rsidR="006756AB" w:rsidRPr="009422BF">
        <w:rPr>
          <w:rFonts w:ascii="Times New Roman" w:hAnsi="Times New Roman" w:cs="Times New Roman"/>
          <w:sz w:val="24"/>
          <w:szCs w:val="24"/>
          <w:lang w:val="en-GB"/>
        </w:rPr>
        <w:t>,</w:t>
      </w:r>
      <w:r w:rsidRPr="009422BF">
        <w:rPr>
          <w:rFonts w:ascii="Times New Roman" w:hAnsi="Times New Roman" w:cs="Times New Roman"/>
          <w:sz w:val="24"/>
          <w:szCs w:val="24"/>
          <w:lang w:val="en-GB"/>
        </w:rPr>
        <w:t xml:space="preserve"> the Contractor will provide the necessary table decorations and the arrangement of the venue.</w:t>
      </w:r>
    </w:p>
    <w:p w:rsidR="006756AB" w:rsidRPr="009422BF" w:rsidRDefault="006756AB" w:rsidP="009422BF">
      <w:pPr>
        <w:pStyle w:val="ListParagraph"/>
        <w:numPr>
          <w:ilvl w:val="0"/>
          <w:numId w:val="9"/>
        </w:numPr>
        <w:spacing w:after="0"/>
        <w:ind w:left="567" w:hanging="567"/>
        <w:jc w:val="both"/>
        <w:rPr>
          <w:rFonts w:ascii="Times New Roman" w:hAnsi="Times New Roman" w:cs="Times New Roman"/>
          <w:iCs/>
          <w:sz w:val="24"/>
          <w:szCs w:val="24"/>
          <w:lang w:val="en-GB"/>
        </w:rPr>
      </w:pPr>
      <w:r w:rsidRPr="009422BF">
        <w:rPr>
          <w:rFonts w:ascii="Times New Roman" w:hAnsi="Times New Roman" w:cs="Times New Roman"/>
          <w:iCs/>
          <w:sz w:val="24"/>
          <w:szCs w:val="24"/>
          <w:lang w:val="en-GB"/>
        </w:rPr>
        <w:t>The Contractor will provide catering services for coffee breaks, for 15 persons. The coffee break will be organized in accordance with the programme of the conference and in the conference room, or in the adjoining room, suited for such break. Coffee break will at least include:</w:t>
      </w:r>
      <w:r w:rsidR="00B71A34">
        <w:rPr>
          <w:rFonts w:ascii="Times New Roman" w:hAnsi="Times New Roman" w:cs="Times New Roman"/>
          <w:iCs/>
          <w:sz w:val="24"/>
          <w:szCs w:val="24"/>
          <w:lang w:val="en-GB"/>
        </w:rPr>
        <w:t xml:space="preserve"> </w:t>
      </w:r>
      <w:r w:rsidRPr="009422BF">
        <w:rPr>
          <w:rFonts w:ascii="Times New Roman" w:hAnsi="Times New Roman" w:cs="Times New Roman"/>
          <w:iCs/>
          <w:sz w:val="24"/>
          <w:szCs w:val="24"/>
          <w:lang w:val="en-GB"/>
        </w:rPr>
        <w:t xml:space="preserve">carbonated or non-carbonated bottled water and soft drinks (500ml per person), (50g per person), coffee and tea (with milk and sugar – 1 piece per person). The Contractor will provide glasses, cups and necessary table decorations and arrangements of the venue. </w:t>
      </w:r>
    </w:p>
    <w:p w:rsidR="006756AB" w:rsidRPr="009422BF" w:rsidRDefault="006756AB" w:rsidP="009422BF">
      <w:pPr>
        <w:pStyle w:val="ListParagraph"/>
        <w:numPr>
          <w:ilvl w:val="0"/>
          <w:numId w:val="9"/>
        </w:numPr>
        <w:spacing w:after="0"/>
        <w:ind w:left="567" w:hanging="567"/>
        <w:jc w:val="both"/>
        <w:rPr>
          <w:rFonts w:ascii="Times New Roman" w:hAnsi="Times New Roman" w:cs="Times New Roman"/>
          <w:iCs/>
          <w:sz w:val="24"/>
          <w:szCs w:val="24"/>
          <w:lang w:val="en-GB"/>
        </w:rPr>
      </w:pPr>
      <w:r w:rsidRPr="009422BF">
        <w:rPr>
          <w:rFonts w:ascii="Times New Roman" w:hAnsi="Times New Roman" w:cs="Times New Roman"/>
          <w:iCs/>
          <w:sz w:val="24"/>
          <w:szCs w:val="24"/>
          <w:lang w:val="en-GB"/>
        </w:rPr>
        <w:t>The Contractor will also take photographs of the conference and provide printed out attendance lists.</w:t>
      </w:r>
    </w:p>
    <w:p w:rsidR="006756AB" w:rsidRPr="009422BF" w:rsidRDefault="006756AB" w:rsidP="009422BF">
      <w:pPr>
        <w:pStyle w:val="ListParagraph"/>
        <w:numPr>
          <w:ilvl w:val="0"/>
          <w:numId w:val="9"/>
        </w:numPr>
        <w:spacing w:after="0"/>
        <w:ind w:left="567" w:hanging="567"/>
        <w:jc w:val="both"/>
        <w:rPr>
          <w:rFonts w:ascii="Times New Roman" w:hAnsi="Times New Roman" w:cs="Times New Roman"/>
          <w:sz w:val="24"/>
          <w:szCs w:val="24"/>
          <w:lang w:val="en-GB"/>
        </w:rPr>
      </w:pPr>
      <w:r w:rsidRPr="009422BF">
        <w:rPr>
          <w:rFonts w:ascii="Times New Roman" w:hAnsi="Times New Roman" w:cs="Times New Roman"/>
          <w:sz w:val="24"/>
          <w:szCs w:val="24"/>
          <w:lang w:val="en-GB"/>
        </w:rPr>
        <w:t>The Contractor must also comply with the latest Communication and Visibility Manual for EU External Actions concerning acknowledgement of EU financing of the project. (See https://ec.europa.eu/europeaid/communication-and-visibility-manual-eu-external-actions_en.)</w:t>
      </w:r>
    </w:p>
    <w:p w:rsidR="004023F8" w:rsidRPr="00AB3D10" w:rsidRDefault="004023F8" w:rsidP="00855FE4">
      <w:pPr>
        <w:pStyle w:val="ListParagraph"/>
        <w:spacing w:after="0"/>
        <w:ind w:left="0" w:firstLine="708"/>
        <w:jc w:val="both"/>
        <w:rPr>
          <w:rFonts w:ascii="Times New Roman" w:hAnsi="Times New Roman" w:cs="Times New Roman"/>
          <w:iCs/>
          <w:sz w:val="24"/>
          <w:szCs w:val="24"/>
          <w:highlight w:val="yellow"/>
          <w:lang w:val="en-GB"/>
        </w:rPr>
      </w:pPr>
    </w:p>
    <w:p w:rsidR="00056F91" w:rsidRPr="00D90E89" w:rsidRDefault="00056F91" w:rsidP="00D90E89">
      <w:pPr>
        <w:pStyle w:val="Heading1"/>
      </w:pPr>
      <w:r w:rsidRPr="00D90E89">
        <w:t>Required inputs</w:t>
      </w:r>
    </w:p>
    <w:p w:rsidR="00816D8D" w:rsidRPr="00E53649" w:rsidRDefault="00487E8E" w:rsidP="0023677C">
      <w:pPr>
        <w:pStyle w:val="BodyText"/>
        <w:spacing w:after="0" w:line="276" w:lineRule="auto"/>
        <w:rPr>
          <w:rFonts w:ascii="Times New Roman" w:hAnsi="Times New Roman" w:cs="Times New Roman"/>
          <w:i/>
          <w:iCs/>
        </w:rPr>
      </w:pPr>
      <w:r w:rsidRPr="009422BF">
        <w:rPr>
          <w:rFonts w:ascii="Times New Roman" w:hAnsi="Times New Roman" w:cs="Times New Roman"/>
          <w:iCs/>
          <w:lang w:eastAsia="en-US"/>
        </w:rPr>
        <w:t>Experience in e</w:t>
      </w:r>
      <w:r w:rsidR="0023677C">
        <w:rPr>
          <w:rFonts w:ascii="Times New Roman" w:hAnsi="Times New Roman" w:cs="Times New Roman"/>
          <w:iCs/>
          <w:lang w:eastAsia="en-US"/>
        </w:rPr>
        <w:t>vent organization services</w:t>
      </w:r>
      <w:r w:rsidR="009422BF" w:rsidRPr="009422BF">
        <w:rPr>
          <w:rFonts w:ascii="Times New Roman" w:hAnsi="Times New Roman" w:cs="Times New Roman"/>
          <w:iCs/>
          <w:lang w:eastAsia="en-US"/>
        </w:rPr>
        <w:t>.</w:t>
      </w:r>
      <w:r w:rsidR="0023677C">
        <w:rPr>
          <w:rFonts w:ascii="Times New Roman" w:hAnsi="Times New Roman" w:cs="Times New Roman"/>
          <w:iCs/>
          <w:lang w:eastAsia="en-US"/>
        </w:rPr>
        <w:t xml:space="preserve"> </w:t>
      </w:r>
      <w:r w:rsidR="00B1155B" w:rsidRPr="009628AB">
        <w:rPr>
          <w:rFonts w:ascii="Times New Roman" w:hAnsi="Times New Roman" w:cs="Times New Roman"/>
          <w:iCs/>
        </w:rPr>
        <w:t>Personnel, premises, supplies, equipment and other backstopping support required for service contract implementation</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D90E89" w:rsidRDefault="00056F91" w:rsidP="00D90E89">
      <w:pPr>
        <w:pStyle w:val="Heading1"/>
      </w:pPr>
      <w:r w:rsidRPr="00D90E89">
        <w:t>Required time frame</w:t>
      </w:r>
    </w:p>
    <w:p w:rsidR="00056F91" w:rsidRDefault="00B1155B" w:rsidP="00855FE4">
      <w:pPr>
        <w:spacing w:after="0"/>
        <w:jc w:val="both"/>
        <w:rPr>
          <w:rFonts w:ascii="Times New Roman" w:hAnsi="Times New Roman" w:cs="Times New Roman"/>
          <w:i/>
          <w:iCs/>
          <w:sz w:val="24"/>
          <w:szCs w:val="24"/>
          <w:lang w:val="en-GB"/>
        </w:rPr>
      </w:pPr>
      <w:r w:rsidRPr="009628AB">
        <w:rPr>
          <w:rFonts w:ascii="Times New Roman" w:hAnsi="Times New Roman" w:cs="Times New Roman"/>
          <w:i/>
          <w:iCs/>
          <w:sz w:val="24"/>
          <w:szCs w:val="24"/>
          <w:lang w:val="en-GB"/>
        </w:rPr>
        <w:t>Overall timeframe for this service will be</w:t>
      </w:r>
      <w:r>
        <w:rPr>
          <w:rFonts w:ascii="Times New Roman" w:hAnsi="Times New Roman" w:cs="Times New Roman"/>
          <w:i/>
          <w:iCs/>
          <w:sz w:val="24"/>
          <w:szCs w:val="24"/>
          <w:lang w:val="en-GB"/>
        </w:rPr>
        <w:t xml:space="preserve">  </w:t>
      </w:r>
      <w:r w:rsidR="009422BF">
        <w:rPr>
          <w:rFonts w:ascii="Times New Roman" w:hAnsi="Times New Roman" w:cs="Times New Roman"/>
          <w:i/>
          <w:iCs/>
          <w:sz w:val="24"/>
          <w:szCs w:val="24"/>
          <w:lang w:val="en-GB"/>
        </w:rPr>
        <w:t>November 2017</w:t>
      </w:r>
      <w:r w:rsidR="00E35C79">
        <w:rPr>
          <w:rFonts w:ascii="Times New Roman" w:hAnsi="Times New Roman" w:cs="Times New Roman"/>
          <w:i/>
          <w:iCs/>
          <w:sz w:val="24"/>
          <w:szCs w:val="24"/>
          <w:lang w:val="en-GB"/>
        </w:rPr>
        <w:t xml:space="preserve"> - </w:t>
      </w:r>
      <w:r w:rsidR="000214A6">
        <w:rPr>
          <w:rFonts w:ascii="Times New Roman" w:hAnsi="Times New Roman" w:cs="Times New Roman"/>
          <w:i/>
          <w:iCs/>
          <w:sz w:val="24"/>
          <w:szCs w:val="24"/>
          <w:lang w:val="en-GB"/>
        </w:rPr>
        <w:t>May</w:t>
      </w:r>
      <w:r w:rsidR="00E35C79">
        <w:rPr>
          <w:rFonts w:ascii="Times New Roman" w:hAnsi="Times New Roman" w:cs="Times New Roman"/>
          <w:i/>
          <w:iCs/>
          <w:sz w:val="24"/>
          <w:szCs w:val="24"/>
          <w:lang w:val="en-GB"/>
        </w:rPr>
        <w:t xml:space="preserve"> 201</w:t>
      </w:r>
      <w:r w:rsidR="009422BF">
        <w:rPr>
          <w:rFonts w:ascii="Times New Roman" w:hAnsi="Times New Roman" w:cs="Times New Roman"/>
          <w:i/>
          <w:iCs/>
          <w:sz w:val="24"/>
          <w:szCs w:val="24"/>
          <w:lang w:val="en-GB"/>
        </w:rPr>
        <w:t>9.</w:t>
      </w:r>
    </w:p>
    <w:p w:rsidR="00B71A34" w:rsidRPr="00E53649" w:rsidRDefault="00B71A34"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B71A34" w:rsidRPr="0023677C" w:rsidRDefault="00B71A34" w:rsidP="00B71A34">
      <w:pPr>
        <w:pStyle w:val="ListParagraph"/>
        <w:numPr>
          <w:ilvl w:val="1"/>
          <w:numId w:val="2"/>
        </w:numPr>
        <w:spacing w:after="0"/>
        <w:jc w:val="both"/>
        <w:rPr>
          <w:rFonts w:ascii="Times New Roman" w:hAnsi="Times New Roman" w:cs="Times New Roman"/>
          <w:b/>
          <w:sz w:val="24"/>
          <w:szCs w:val="24"/>
          <w:lang w:val="en-GB"/>
        </w:rPr>
      </w:pPr>
      <w:r w:rsidRPr="0023677C">
        <w:rPr>
          <w:rFonts w:ascii="Times New Roman" w:hAnsi="Times New Roman" w:cs="Times New Roman"/>
          <w:b/>
          <w:sz w:val="24"/>
          <w:szCs w:val="24"/>
          <w:lang w:val="en-GB"/>
        </w:rPr>
        <w:t xml:space="preserve">Activity </w:t>
      </w:r>
      <w:r>
        <w:rPr>
          <w:rFonts w:ascii="Times New Roman" w:hAnsi="Times New Roman" w:cs="Times New Roman"/>
          <w:b/>
          <w:sz w:val="24"/>
          <w:szCs w:val="24"/>
        </w:rPr>
        <w:t>3</w:t>
      </w:r>
      <w:r w:rsidRPr="0023677C">
        <w:rPr>
          <w:rFonts w:ascii="Times New Roman" w:hAnsi="Times New Roman" w:cs="Times New Roman"/>
          <w:b/>
          <w:sz w:val="24"/>
          <w:szCs w:val="24"/>
          <w:lang w:val="en-GB"/>
        </w:rPr>
        <w:t xml:space="preserve">: Organization of </w:t>
      </w:r>
      <w:r>
        <w:rPr>
          <w:rFonts w:ascii="Times New Roman" w:hAnsi="Times New Roman" w:cs="Times New Roman"/>
          <w:b/>
          <w:sz w:val="24"/>
          <w:szCs w:val="24"/>
          <w:lang w:val="en-GB"/>
        </w:rPr>
        <w:t>10 Info Days</w:t>
      </w:r>
    </w:p>
    <w:p w:rsidR="00B71A34" w:rsidRPr="00487E8E" w:rsidRDefault="00B71A34" w:rsidP="00B71A34">
      <w:pPr>
        <w:spacing w:after="0"/>
        <w:jc w:val="both"/>
        <w:rPr>
          <w:rFonts w:ascii="Times New Roman" w:hAnsi="Times New Roman" w:cs="Times New Roman"/>
          <w:sz w:val="24"/>
          <w:szCs w:val="24"/>
          <w:lang w:val="en-GB"/>
        </w:rPr>
      </w:pPr>
    </w:p>
    <w:p w:rsidR="00B71A34" w:rsidRPr="00487E8E" w:rsidRDefault="00B71A34" w:rsidP="00B71A3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10 info days</w:t>
      </w:r>
      <w:r w:rsidRPr="00487E8E">
        <w:rPr>
          <w:rFonts w:ascii="Times New Roman" w:hAnsi="Times New Roman" w:cs="Times New Roman"/>
          <w:sz w:val="24"/>
          <w:szCs w:val="24"/>
          <w:lang w:val="en-GB"/>
        </w:rPr>
        <w:t xml:space="preserve"> will be organized in </w:t>
      </w:r>
      <w:r>
        <w:rPr>
          <w:rFonts w:ascii="Times New Roman" w:hAnsi="Times New Roman" w:cs="Times New Roman"/>
          <w:sz w:val="24"/>
          <w:szCs w:val="24"/>
          <w:lang w:val="en-GB"/>
        </w:rPr>
        <w:t xml:space="preserve">rural areas around </w:t>
      </w:r>
      <w:r w:rsidRPr="00487E8E">
        <w:rPr>
          <w:rFonts w:ascii="Times New Roman" w:hAnsi="Times New Roman" w:cs="Times New Roman"/>
          <w:sz w:val="24"/>
          <w:szCs w:val="24"/>
          <w:lang w:val="en-GB"/>
        </w:rPr>
        <w:t xml:space="preserve">the City of </w:t>
      </w:r>
      <w:r>
        <w:rPr>
          <w:rFonts w:ascii="Times New Roman" w:hAnsi="Times New Roman" w:cs="Times New Roman"/>
          <w:sz w:val="24"/>
          <w:szCs w:val="24"/>
          <w:lang w:val="en-GB"/>
        </w:rPr>
        <w:t>Smederevo during implementation of this contract</w:t>
      </w:r>
      <w:r w:rsidRPr="00487E8E">
        <w:rPr>
          <w:rFonts w:ascii="Times New Roman" w:hAnsi="Times New Roman" w:cs="Times New Roman"/>
          <w:sz w:val="24"/>
          <w:szCs w:val="24"/>
          <w:lang w:val="en-GB"/>
        </w:rPr>
        <w:t xml:space="preserve">, with </w:t>
      </w:r>
      <w:r>
        <w:rPr>
          <w:rFonts w:ascii="Times New Roman" w:hAnsi="Times New Roman" w:cs="Times New Roman"/>
          <w:sz w:val="24"/>
          <w:szCs w:val="24"/>
          <w:lang w:val="en-GB"/>
        </w:rPr>
        <w:t>3</w:t>
      </w:r>
      <w:r w:rsidRPr="00487E8E">
        <w:rPr>
          <w:rFonts w:ascii="Times New Roman" w:hAnsi="Times New Roman" w:cs="Times New Roman"/>
          <w:sz w:val="24"/>
          <w:szCs w:val="24"/>
          <w:lang w:val="en-GB"/>
        </w:rPr>
        <w:t>5 participants and each event will last ~</w:t>
      </w:r>
      <w:r>
        <w:rPr>
          <w:rFonts w:ascii="Times New Roman" w:hAnsi="Times New Roman" w:cs="Times New Roman"/>
          <w:sz w:val="24"/>
          <w:szCs w:val="24"/>
          <w:lang w:val="en-GB"/>
        </w:rPr>
        <w:t>4</w:t>
      </w:r>
      <w:r w:rsidRPr="00487E8E">
        <w:rPr>
          <w:rFonts w:ascii="Times New Roman" w:hAnsi="Times New Roman" w:cs="Times New Roman"/>
          <w:sz w:val="24"/>
          <w:szCs w:val="24"/>
          <w:lang w:val="en-GB"/>
        </w:rPr>
        <w:t xml:space="preserve"> hours. The events </w:t>
      </w:r>
      <w:r w:rsidR="00D049A8">
        <w:rPr>
          <w:rFonts w:ascii="Times New Roman" w:hAnsi="Times New Roman" w:cs="Times New Roman"/>
          <w:sz w:val="24"/>
          <w:szCs w:val="24"/>
          <w:lang w:val="en-GB"/>
        </w:rPr>
        <w:t>need to be organized in 10 days</w:t>
      </w:r>
      <w:r w:rsidRPr="00487E8E">
        <w:rPr>
          <w:rFonts w:ascii="Times New Roman" w:hAnsi="Times New Roman" w:cs="Times New Roman"/>
          <w:sz w:val="24"/>
          <w:szCs w:val="24"/>
          <w:lang w:val="en-GB"/>
        </w:rPr>
        <w:t xml:space="preserve"> following the request of the CA</w:t>
      </w:r>
      <w:r>
        <w:rPr>
          <w:rFonts w:ascii="Times New Roman" w:hAnsi="Times New Roman" w:cs="Times New Roman"/>
          <w:sz w:val="24"/>
          <w:szCs w:val="24"/>
          <w:lang w:val="en-GB"/>
        </w:rPr>
        <w:t xml:space="preserve"> together with desired agenda of event</w:t>
      </w:r>
      <w:r w:rsidRPr="00487E8E">
        <w:rPr>
          <w:rFonts w:ascii="Times New Roman" w:hAnsi="Times New Roman" w:cs="Times New Roman"/>
          <w:sz w:val="24"/>
          <w:szCs w:val="24"/>
          <w:lang w:val="en-GB"/>
        </w:rPr>
        <w:t>.</w:t>
      </w:r>
    </w:p>
    <w:p w:rsidR="00B71A34" w:rsidRPr="00487E8E" w:rsidRDefault="00B71A34" w:rsidP="00B71A34">
      <w:pPr>
        <w:spacing w:after="0"/>
        <w:jc w:val="both"/>
        <w:rPr>
          <w:rFonts w:ascii="Times New Roman" w:hAnsi="Times New Roman" w:cs="Times New Roman"/>
          <w:sz w:val="24"/>
          <w:szCs w:val="24"/>
          <w:lang w:val="en-GB"/>
        </w:rPr>
      </w:pPr>
      <w:r w:rsidRPr="00487E8E">
        <w:rPr>
          <w:rFonts w:ascii="Times New Roman" w:hAnsi="Times New Roman" w:cs="Times New Roman"/>
          <w:sz w:val="24"/>
          <w:szCs w:val="24"/>
          <w:lang w:val="en-GB"/>
        </w:rPr>
        <w:tab/>
        <w:t>The Contractor should perform the following activities, per event:</w:t>
      </w:r>
    </w:p>
    <w:p w:rsidR="00B71A34" w:rsidRDefault="00B71A34" w:rsidP="00B71A34">
      <w:pPr>
        <w:pStyle w:val="ListParagraph"/>
        <w:numPr>
          <w:ilvl w:val="0"/>
          <w:numId w:val="9"/>
        </w:numPr>
        <w:spacing w:after="0"/>
        <w:ind w:left="567" w:hanging="567"/>
        <w:jc w:val="both"/>
        <w:rPr>
          <w:rFonts w:ascii="Times New Roman" w:hAnsi="Times New Roman" w:cs="Times New Roman"/>
          <w:sz w:val="24"/>
          <w:szCs w:val="24"/>
          <w:lang w:val="en-GB"/>
        </w:rPr>
      </w:pPr>
      <w:r w:rsidRPr="009422BF">
        <w:rPr>
          <w:rFonts w:ascii="Times New Roman" w:hAnsi="Times New Roman" w:cs="Times New Roman"/>
          <w:sz w:val="24"/>
          <w:szCs w:val="24"/>
          <w:lang w:val="en-GB"/>
        </w:rPr>
        <w:t>The Contra</w:t>
      </w:r>
      <w:r>
        <w:rPr>
          <w:rFonts w:ascii="Times New Roman" w:hAnsi="Times New Roman" w:cs="Times New Roman"/>
          <w:sz w:val="24"/>
          <w:szCs w:val="24"/>
          <w:lang w:val="en-GB"/>
        </w:rPr>
        <w:t>cting Authority will</w:t>
      </w:r>
      <w:r w:rsidRPr="009422BF">
        <w:rPr>
          <w:rFonts w:ascii="Times New Roman" w:hAnsi="Times New Roman" w:cs="Times New Roman"/>
          <w:sz w:val="24"/>
          <w:szCs w:val="24"/>
          <w:lang w:val="en-GB"/>
        </w:rPr>
        <w:t xml:space="preserve"> provide a </w:t>
      </w:r>
      <w:r>
        <w:rPr>
          <w:rFonts w:ascii="Times New Roman" w:hAnsi="Times New Roman" w:cs="Times New Roman"/>
          <w:sz w:val="24"/>
          <w:szCs w:val="24"/>
          <w:lang w:val="en-GB"/>
        </w:rPr>
        <w:t>venue of conference (in most cases Local Government Office</w:t>
      </w:r>
      <w:r w:rsidR="00EE1D3E">
        <w:rPr>
          <w:rFonts w:ascii="Times New Roman" w:hAnsi="Times New Roman" w:cs="Times New Roman"/>
          <w:sz w:val="24"/>
          <w:szCs w:val="24"/>
          <w:lang w:val="en-GB"/>
        </w:rPr>
        <w:t xml:space="preserve"> or Cultural Centre whatever is more appropriate</w:t>
      </w:r>
      <w:r>
        <w:rPr>
          <w:rFonts w:ascii="Times New Roman" w:hAnsi="Times New Roman" w:cs="Times New Roman"/>
          <w:sz w:val="24"/>
          <w:szCs w:val="24"/>
          <w:lang w:val="en-GB"/>
        </w:rPr>
        <w:t xml:space="preserve">). </w:t>
      </w:r>
    </w:p>
    <w:p w:rsidR="00D049A8" w:rsidRPr="009422BF" w:rsidRDefault="00D049A8" w:rsidP="00B71A34">
      <w:pPr>
        <w:pStyle w:val="ListParagraph"/>
        <w:numPr>
          <w:ilvl w:val="0"/>
          <w:numId w:val="9"/>
        </w:numPr>
        <w:spacing w:after="0"/>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Contractor will provide presentation and sound equipment for each event and provide technical support during events.</w:t>
      </w:r>
    </w:p>
    <w:p w:rsidR="00B71A34" w:rsidRDefault="00B71A34" w:rsidP="00B71A34">
      <w:pPr>
        <w:pStyle w:val="ListParagraph"/>
        <w:numPr>
          <w:ilvl w:val="0"/>
          <w:numId w:val="9"/>
        </w:numPr>
        <w:spacing w:after="0"/>
        <w:ind w:left="567" w:hanging="567"/>
        <w:jc w:val="both"/>
        <w:rPr>
          <w:rFonts w:ascii="Times New Roman" w:hAnsi="Times New Roman" w:cs="Times New Roman"/>
          <w:sz w:val="24"/>
          <w:szCs w:val="24"/>
          <w:lang w:val="en-GB"/>
        </w:rPr>
      </w:pPr>
      <w:r w:rsidRPr="009422BF">
        <w:rPr>
          <w:rFonts w:ascii="Times New Roman" w:hAnsi="Times New Roman" w:cs="Times New Roman"/>
          <w:sz w:val="24"/>
          <w:szCs w:val="24"/>
          <w:lang w:val="en-GB"/>
        </w:rPr>
        <w:t xml:space="preserve">The Contractor will provide a </w:t>
      </w:r>
      <w:r w:rsidR="00EE1D3E">
        <w:rPr>
          <w:rFonts w:ascii="Times New Roman" w:hAnsi="Times New Roman" w:cs="Times New Roman"/>
          <w:sz w:val="24"/>
          <w:szCs w:val="24"/>
          <w:lang w:val="en-GB"/>
        </w:rPr>
        <w:t>refreshments</w:t>
      </w:r>
      <w:r w:rsidRPr="009422BF">
        <w:rPr>
          <w:rFonts w:ascii="Times New Roman" w:hAnsi="Times New Roman" w:cs="Times New Roman"/>
          <w:sz w:val="24"/>
          <w:szCs w:val="24"/>
          <w:lang w:val="en-GB"/>
        </w:rPr>
        <w:t xml:space="preserve"> for </w:t>
      </w:r>
      <w:r>
        <w:rPr>
          <w:rFonts w:ascii="Times New Roman" w:hAnsi="Times New Roman" w:cs="Times New Roman"/>
          <w:sz w:val="24"/>
          <w:szCs w:val="24"/>
          <w:lang w:val="en-GB"/>
        </w:rPr>
        <w:t>3</w:t>
      </w:r>
      <w:r w:rsidRPr="009422BF">
        <w:rPr>
          <w:rFonts w:ascii="Times New Roman" w:hAnsi="Times New Roman" w:cs="Times New Roman"/>
          <w:sz w:val="24"/>
          <w:szCs w:val="24"/>
          <w:lang w:val="en-GB"/>
        </w:rPr>
        <w:t xml:space="preserve">5 people, which will include at least: 3 cold starters (100g per person), 2 warm starters (100g per person), 3 main courses (2 with meat, 1 without and with a side dish – 350g per person), 2 salads (50g per person), 2 desserts (50g per person), </w:t>
      </w:r>
      <w:r w:rsidRPr="009422BF">
        <w:rPr>
          <w:rFonts w:ascii="Times New Roman" w:hAnsi="Times New Roman" w:cs="Times New Roman"/>
          <w:iCs/>
          <w:sz w:val="24"/>
          <w:szCs w:val="24"/>
          <w:lang w:val="en-GB"/>
        </w:rPr>
        <w:t>carbonated or non-carbonated bottled water and soft drinks (500ml per person), (50g per person), coffee and tea (with milk and sugar – 1 piece per person) and bread</w:t>
      </w:r>
      <w:r w:rsidRPr="009422BF">
        <w:rPr>
          <w:rFonts w:ascii="Times New Roman" w:hAnsi="Times New Roman" w:cs="Times New Roman"/>
          <w:sz w:val="24"/>
          <w:szCs w:val="24"/>
          <w:lang w:val="en-GB"/>
        </w:rPr>
        <w:t>. The final menu will be discussed between the parties 3 days before the event. In case there are some special dietary needs, the Contracting Authority will inform the Contractor 3 days before the event. The Contractor will provide the cutlery and plates. Also, the Contractor will provide the necessary table decorations and the arrangement of the venue.</w:t>
      </w:r>
    </w:p>
    <w:p w:rsidR="00D049A8" w:rsidRPr="009422BF" w:rsidRDefault="00D049A8" w:rsidP="00B71A34">
      <w:pPr>
        <w:pStyle w:val="ListParagraph"/>
        <w:numPr>
          <w:ilvl w:val="0"/>
          <w:numId w:val="9"/>
        </w:numPr>
        <w:spacing w:after="0"/>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Contractor will also provide transportation for all required promotion materials </w:t>
      </w:r>
      <w:r w:rsidR="00EA176A">
        <w:rPr>
          <w:rFonts w:ascii="Times New Roman" w:hAnsi="Times New Roman" w:cs="Times New Roman"/>
          <w:sz w:val="24"/>
          <w:szCs w:val="24"/>
          <w:lang w:val="en-GB"/>
        </w:rPr>
        <w:t xml:space="preserve">given by CA </w:t>
      </w:r>
      <w:r>
        <w:rPr>
          <w:rFonts w:ascii="Times New Roman" w:hAnsi="Times New Roman" w:cs="Times New Roman"/>
          <w:sz w:val="24"/>
          <w:szCs w:val="24"/>
          <w:lang w:val="en-GB"/>
        </w:rPr>
        <w:t>and secure distribution of the same during Events.</w:t>
      </w:r>
    </w:p>
    <w:p w:rsidR="00B71A34" w:rsidRPr="009422BF" w:rsidRDefault="00B71A34" w:rsidP="00B71A34">
      <w:pPr>
        <w:pStyle w:val="ListParagraph"/>
        <w:numPr>
          <w:ilvl w:val="0"/>
          <w:numId w:val="9"/>
        </w:numPr>
        <w:spacing w:after="0"/>
        <w:ind w:left="567" w:hanging="567"/>
        <w:jc w:val="both"/>
        <w:rPr>
          <w:rFonts w:ascii="Times New Roman" w:hAnsi="Times New Roman" w:cs="Times New Roman"/>
          <w:iCs/>
          <w:sz w:val="24"/>
          <w:szCs w:val="24"/>
          <w:lang w:val="en-GB"/>
        </w:rPr>
      </w:pPr>
      <w:r w:rsidRPr="009422BF">
        <w:rPr>
          <w:rFonts w:ascii="Times New Roman" w:hAnsi="Times New Roman" w:cs="Times New Roman"/>
          <w:iCs/>
          <w:sz w:val="24"/>
          <w:szCs w:val="24"/>
          <w:lang w:val="en-GB"/>
        </w:rPr>
        <w:t xml:space="preserve">The Contractor will also take photographs of the </w:t>
      </w:r>
      <w:r w:rsidR="00EE1D3E">
        <w:rPr>
          <w:rFonts w:ascii="Times New Roman" w:hAnsi="Times New Roman" w:cs="Times New Roman"/>
          <w:iCs/>
          <w:sz w:val="24"/>
          <w:szCs w:val="24"/>
          <w:lang w:val="en-GB"/>
        </w:rPr>
        <w:t>Events</w:t>
      </w:r>
      <w:r w:rsidRPr="009422BF">
        <w:rPr>
          <w:rFonts w:ascii="Times New Roman" w:hAnsi="Times New Roman" w:cs="Times New Roman"/>
          <w:iCs/>
          <w:sz w:val="24"/>
          <w:szCs w:val="24"/>
          <w:lang w:val="en-GB"/>
        </w:rPr>
        <w:t xml:space="preserve"> and provide printed out attendance lists.</w:t>
      </w:r>
    </w:p>
    <w:p w:rsidR="00B71A34" w:rsidRDefault="00B71A34" w:rsidP="00B71A34">
      <w:pPr>
        <w:pStyle w:val="ListParagraph"/>
        <w:numPr>
          <w:ilvl w:val="0"/>
          <w:numId w:val="9"/>
        </w:numPr>
        <w:spacing w:after="0"/>
        <w:ind w:left="567" w:hanging="567"/>
        <w:jc w:val="both"/>
        <w:rPr>
          <w:rFonts w:ascii="Times New Roman" w:hAnsi="Times New Roman" w:cs="Times New Roman"/>
          <w:sz w:val="24"/>
          <w:szCs w:val="24"/>
          <w:lang w:val="en-GB"/>
        </w:rPr>
      </w:pPr>
      <w:r w:rsidRPr="009422BF">
        <w:rPr>
          <w:rFonts w:ascii="Times New Roman" w:hAnsi="Times New Roman" w:cs="Times New Roman"/>
          <w:sz w:val="24"/>
          <w:szCs w:val="24"/>
          <w:lang w:val="en-GB"/>
        </w:rPr>
        <w:t>The Contractor must also comply with the latest Communication and Visibility Manual for EU External Actions concerning acknowledgement of EU financing of the project. (See https://ec.europa.eu/europeaid/communication-and-visibility-manual-eu-external-actions_en.)</w:t>
      </w:r>
    </w:p>
    <w:p w:rsidR="00B71A34" w:rsidRPr="009422BF" w:rsidRDefault="00B71A34" w:rsidP="00B71A34">
      <w:pPr>
        <w:pStyle w:val="ListParagraph"/>
        <w:numPr>
          <w:ilvl w:val="0"/>
          <w:numId w:val="9"/>
        </w:numPr>
        <w:spacing w:after="0"/>
        <w:ind w:left="567" w:hanging="567"/>
        <w:jc w:val="both"/>
        <w:rPr>
          <w:rFonts w:ascii="Times New Roman" w:hAnsi="Times New Roman" w:cs="Times New Roman"/>
          <w:sz w:val="24"/>
          <w:szCs w:val="24"/>
          <w:lang w:val="en-GB"/>
        </w:rPr>
      </w:pPr>
      <w:r w:rsidRPr="009422BF">
        <w:rPr>
          <w:rFonts w:ascii="Times New Roman" w:hAnsi="Times New Roman" w:cs="Times New Roman"/>
          <w:sz w:val="24"/>
          <w:szCs w:val="24"/>
          <w:lang w:val="en-GB"/>
        </w:rPr>
        <w:t xml:space="preserve">The Contractor will provide cleaning services </w:t>
      </w:r>
      <w:r w:rsidR="00D049A8">
        <w:rPr>
          <w:rFonts w:ascii="Times New Roman" w:hAnsi="Times New Roman" w:cs="Times New Roman"/>
          <w:sz w:val="24"/>
          <w:szCs w:val="24"/>
          <w:lang w:val="en-GB"/>
        </w:rPr>
        <w:t xml:space="preserve">before and after Event if necessary as well </w:t>
      </w:r>
      <w:r w:rsidRPr="009422BF">
        <w:rPr>
          <w:rFonts w:ascii="Times New Roman" w:hAnsi="Times New Roman" w:cs="Times New Roman"/>
          <w:sz w:val="24"/>
          <w:szCs w:val="24"/>
          <w:lang w:val="en-GB"/>
        </w:rPr>
        <w:t>and other venue arrangements.</w:t>
      </w:r>
    </w:p>
    <w:p w:rsidR="00B71A34" w:rsidRPr="00AB3D10" w:rsidRDefault="00B71A34" w:rsidP="00B71A34">
      <w:pPr>
        <w:pStyle w:val="ListParagraph"/>
        <w:spacing w:after="0"/>
        <w:ind w:left="0" w:firstLine="708"/>
        <w:jc w:val="both"/>
        <w:rPr>
          <w:rFonts w:ascii="Times New Roman" w:hAnsi="Times New Roman" w:cs="Times New Roman"/>
          <w:iCs/>
          <w:sz w:val="24"/>
          <w:szCs w:val="24"/>
          <w:highlight w:val="yellow"/>
          <w:lang w:val="en-GB"/>
        </w:rPr>
      </w:pPr>
    </w:p>
    <w:p w:rsidR="00B71A34" w:rsidRPr="00D90E89" w:rsidRDefault="00B71A34" w:rsidP="00B71A34">
      <w:pPr>
        <w:pStyle w:val="Heading1"/>
      </w:pPr>
      <w:r w:rsidRPr="00D90E89">
        <w:t>Required inputs</w:t>
      </w:r>
    </w:p>
    <w:p w:rsidR="00B71A34" w:rsidRPr="00E53649" w:rsidRDefault="00B71A34" w:rsidP="00B71A34">
      <w:pPr>
        <w:pStyle w:val="BodyText"/>
        <w:spacing w:after="0" w:line="276" w:lineRule="auto"/>
        <w:rPr>
          <w:rFonts w:ascii="Times New Roman" w:hAnsi="Times New Roman" w:cs="Times New Roman"/>
          <w:i/>
          <w:iCs/>
        </w:rPr>
      </w:pPr>
      <w:r w:rsidRPr="009422BF">
        <w:rPr>
          <w:rFonts w:ascii="Times New Roman" w:hAnsi="Times New Roman" w:cs="Times New Roman"/>
          <w:iCs/>
          <w:lang w:eastAsia="en-US"/>
        </w:rPr>
        <w:t>Experience in e</w:t>
      </w:r>
      <w:r>
        <w:rPr>
          <w:rFonts w:ascii="Times New Roman" w:hAnsi="Times New Roman" w:cs="Times New Roman"/>
          <w:iCs/>
          <w:lang w:eastAsia="en-US"/>
        </w:rPr>
        <w:t>vent organization services</w:t>
      </w:r>
      <w:r w:rsidRPr="009422BF">
        <w:rPr>
          <w:rFonts w:ascii="Times New Roman" w:hAnsi="Times New Roman" w:cs="Times New Roman"/>
          <w:iCs/>
          <w:lang w:eastAsia="en-US"/>
        </w:rPr>
        <w:t>.</w:t>
      </w:r>
      <w:r>
        <w:rPr>
          <w:rFonts w:ascii="Times New Roman" w:hAnsi="Times New Roman" w:cs="Times New Roman"/>
          <w:iCs/>
          <w:lang w:eastAsia="en-US"/>
        </w:rPr>
        <w:t xml:space="preserve"> </w:t>
      </w:r>
      <w:r w:rsidRPr="009628AB">
        <w:rPr>
          <w:rFonts w:ascii="Times New Roman" w:hAnsi="Times New Roman" w:cs="Times New Roman"/>
          <w:iCs/>
        </w:rPr>
        <w:t>Personnel, premises, supplies, equipment and other backstopping support required for service contract implementation</w:t>
      </w:r>
    </w:p>
    <w:p w:rsidR="00B71A34" w:rsidRPr="00E53649" w:rsidRDefault="00B71A34" w:rsidP="00B71A34">
      <w:pPr>
        <w:pStyle w:val="ListParagraph"/>
        <w:spacing w:after="0"/>
        <w:jc w:val="both"/>
        <w:rPr>
          <w:rFonts w:ascii="Times New Roman" w:hAnsi="Times New Roman" w:cs="Times New Roman"/>
          <w:i/>
          <w:iCs/>
          <w:sz w:val="24"/>
          <w:szCs w:val="24"/>
          <w:lang w:val="en-GB"/>
        </w:rPr>
      </w:pPr>
    </w:p>
    <w:p w:rsidR="00B71A34" w:rsidRPr="00D90E89" w:rsidRDefault="00B71A34" w:rsidP="00B71A34">
      <w:pPr>
        <w:pStyle w:val="Heading1"/>
      </w:pPr>
      <w:r w:rsidRPr="00D90E89">
        <w:t>Required time frame</w:t>
      </w:r>
    </w:p>
    <w:p w:rsidR="00056F91" w:rsidRPr="00E53649" w:rsidRDefault="00B71A34" w:rsidP="00B71A34">
      <w:pPr>
        <w:pStyle w:val="ListParagraph"/>
        <w:spacing w:after="0"/>
        <w:jc w:val="both"/>
        <w:rPr>
          <w:rFonts w:ascii="Times New Roman" w:hAnsi="Times New Roman" w:cs="Times New Roman"/>
          <w:b/>
          <w:bCs/>
          <w:sz w:val="24"/>
          <w:szCs w:val="24"/>
          <w:lang w:val="en-GB"/>
        </w:rPr>
      </w:pPr>
      <w:r w:rsidRPr="009628AB">
        <w:rPr>
          <w:rFonts w:ascii="Times New Roman" w:hAnsi="Times New Roman" w:cs="Times New Roman"/>
          <w:i/>
          <w:iCs/>
          <w:sz w:val="24"/>
          <w:szCs w:val="24"/>
          <w:lang w:val="en-GB"/>
        </w:rPr>
        <w:t>Overall timeframe for this service will be</w:t>
      </w:r>
      <w:r>
        <w:rPr>
          <w:rFonts w:ascii="Times New Roman" w:hAnsi="Times New Roman" w:cs="Times New Roman"/>
          <w:i/>
          <w:iCs/>
          <w:sz w:val="24"/>
          <w:szCs w:val="24"/>
          <w:lang w:val="en-GB"/>
        </w:rPr>
        <w:t xml:space="preserve">  November 2017 - May 2019.</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CB1225">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w:t>
      </w:r>
      <w:r w:rsidRPr="009232FB">
        <w:rPr>
          <w:rFonts w:ascii="Times New Roman" w:hAnsi="Times New Roman" w:cs="Times New Roman"/>
          <w:sz w:val="24"/>
          <w:szCs w:val="24"/>
          <w:u w:val="single"/>
          <w:lang w:val="en-GB"/>
        </w:rPr>
        <w:lastRenderedPageBreak/>
        <w:t xml:space="preserve">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AC3232" w:rsidRDefault="00AC3232" w:rsidP="00855FE4">
      <w:pPr>
        <w:spacing w:after="0"/>
        <w:jc w:val="both"/>
        <w:rPr>
          <w:rFonts w:ascii="Times New Roman" w:hAnsi="Times New Roman" w:cs="Times New Roman"/>
          <w:sz w:val="24"/>
          <w:szCs w:val="24"/>
        </w:rPr>
      </w:pPr>
    </w:p>
    <w:p w:rsidR="00AC3232" w:rsidRPr="00E53649" w:rsidRDefault="00AC3232"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758F7" w:rsidRPr="00E53649" w:rsidRDefault="00B758F7" w:rsidP="00855FE4">
      <w:pPr>
        <w:spacing w:after="0"/>
        <w:jc w:val="both"/>
        <w:rPr>
          <w:rFonts w:ascii="Times New Roman" w:hAnsi="Times New Roman" w:cs="Times New Roman"/>
          <w:sz w:val="24"/>
          <w:szCs w:val="24"/>
        </w:rPr>
      </w:pPr>
    </w:p>
    <w:p w:rsidR="002F4D3B" w:rsidRDefault="002F4D3B">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23677C" w:rsidRPr="0023677C">
        <w:rPr>
          <w:rFonts w:ascii="Times New Roman" w:hAnsi="Times New Roman" w:cs="Times New Roman"/>
          <w:sz w:val="24"/>
          <w:szCs w:val="24"/>
          <w:lang w:val="en-GB"/>
        </w:rPr>
        <w:t>Organization of Events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CA71D6" w:rsidRPr="00CA71D6">
        <w:rPr>
          <w:rFonts w:ascii="Times New Roman" w:hAnsi="Times New Roman" w:cs="Times New Roman"/>
          <w:sz w:val="24"/>
          <w:szCs w:val="24"/>
          <w:lang w:val="en-GB"/>
        </w:rPr>
        <w:t>RORS9/GHPD Smederevo/TD3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CA71D6" w:rsidRDefault="00CA71D6" w:rsidP="00CA71D6">
      <w:pPr>
        <w:spacing w:after="0"/>
        <w:jc w:val="both"/>
        <w:rPr>
          <w:rFonts w:ascii="Times New Roman" w:hAnsi="Times New Roman"/>
          <w:i/>
          <w:iCs/>
          <w:sz w:val="24"/>
          <w:szCs w:val="24"/>
          <w:lang w:val="en-GB"/>
        </w:rPr>
      </w:pPr>
      <w:r w:rsidRPr="00A24551">
        <w:rPr>
          <w:rFonts w:ascii="Times New Roman" w:hAnsi="Times New Roman"/>
          <w:i/>
          <w:iCs/>
          <w:sz w:val="24"/>
          <w:szCs w:val="24"/>
          <w:lang w:val="en-GB"/>
        </w:rPr>
        <w:t xml:space="preserve">General Hospital "Sveti Luka" Smederevo, </w:t>
      </w:r>
    </w:p>
    <w:p w:rsidR="00A24551" w:rsidRDefault="00CA71D6" w:rsidP="00CA71D6">
      <w:pPr>
        <w:spacing w:after="0"/>
        <w:jc w:val="both"/>
        <w:rPr>
          <w:rFonts w:ascii="Times New Roman" w:hAnsi="Times New Roman" w:cs="Times New Roman"/>
          <w:i/>
          <w:iCs/>
          <w:sz w:val="24"/>
          <w:szCs w:val="24"/>
          <w:lang w:val="en-GB"/>
        </w:rPr>
      </w:pPr>
      <w:r w:rsidRPr="00A24551">
        <w:rPr>
          <w:rFonts w:ascii="Times New Roman" w:hAnsi="Times New Roman"/>
          <w:i/>
          <w:iCs/>
          <w:sz w:val="24"/>
          <w:szCs w:val="24"/>
          <w:lang w:val="en-GB"/>
        </w:rPr>
        <w:t>Knez Mihajlova St. No. 51, 11300 Smederevo</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23677C" w:rsidRPr="0023677C">
        <w:rPr>
          <w:rFonts w:ascii="Times New Roman" w:hAnsi="Times New Roman" w:cs="Times New Roman"/>
          <w:sz w:val="24"/>
          <w:szCs w:val="24"/>
          <w:lang w:val="en-GB"/>
        </w:rPr>
        <w:t>Organization of Events</w:t>
      </w:r>
      <w:r w:rsidR="0023677C">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A729A3"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23677C">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9422BF" w:rsidRDefault="009422BF" w:rsidP="00855FE4">
      <w:pPr>
        <w:spacing w:after="0"/>
        <w:jc w:val="both"/>
        <w:rPr>
          <w:rFonts w:ascii="Times New Roman" w:hAnsi="Times New Roman" w:cs="Times New Roman"/>
          <w:sz w:val="24"/>
          <w:szCs w:val="24"/>
          <w:lang w:val="en-GB"/>
        </w:rPr>
      </w:pPr>
    </w:p>
    <w:tbl>
      <w:tblPr>
        <w:tblW w:w="8732" w:type="dxa"/>
        <w:jc w:val="center"/>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134"/>
        <w:gridCol w:w="6078"/>
        <w:gridCol w:w="1520"/>
      </w:tblGrid>
      <w:tr w:rsidR="009422BF" w:rsidRPr="009422BF" w:rsidTr="009422BF">
        <w:trPr>
          <w:cantSplit/>
          <w:trHeight w:val="345"/>
          <w:jc w:val="center"/>
        </w:trPr>
        <w:tc>
          <w:tcPr>
            <w:tcW w:w="1134" w:type="dxa"/>
          </w:tcPr>
          <w:p w:rsidR="009422BF" w:rsidRPr="009422BF" w:rsidRDefault="009422BF" w:rsidP="009422BF">
            <w:pPr>
              <w:spacing w:after="0"/>
              <w:jc w:val="both"/>
              <w:rPr>
                <w:rFonts w:ascii="Times New Roman" w:hAnsi="Times New Roman" w:cs="Times New Roman"/>
                <w:b/>
                <w:lang w:val="en-GB"/>
              </w:rPr>
            </w:pPr>
            <w:r>
              <w:rPr>
                <w:rFonts w:ascii="Times New Roman" w:hAnsi="Times New Roman" w:cs="Times New Roman"/>
                <w:b/>
                <w:lang w:val="en-GB"/>
              </w:rPr>
              <w:t>Month</w:t>
            </w:r>
          </w:p>
        </w:tc>
        <w:tc>
          <w:tcPr>
            <w:tcW w:w="6078" w:type="dxa"/>
          </w:tcPr>
          <w:p w:rsidR="009422BF" w:rsidRPr="009422BF" w:rsidRDefault="009422BF" w:rsidP="009422BF">
            <w:pPr>
              <w:spacing w:after="0"/>
              <w:jc w:val="both"/>
              <w:rPr>
                <w:rFonts w:ascii="Times New Roman" w:hAnsi="Times New Roman" w:cs="Times New Roman"/>
                <w:b/>
                <w:lang w:val="en-GB"/>
              </w:rPr>
            </w:pPr>
          </w:p>
        </w:tc>
        <w:tc>
          <w:tcPr>
            <w:tcW w:w="1520" w:type="dxa"/>
          </w:tcPr>
          <w:p w:rsidR="009422BF" w:rsidRPr="009422BF" w:rsidRDefault="009422BF" w:rsidP="009422BF">
            <w:pPr>
              <w:spacing w:after="0"/>
              <w:jc w:val="both"/>
              <w:rPr>
                <w:rFonts w:ascii="Times New Roman" w:hAnsi="Times New Roman" w:cs="Times New Roman"/>
                <w:b/>
                <w:lang w:val="en-GB"/>
              </w:rPr>
            </w:pPr>
            <w:r w:rsidRPr="009422BF">
              <w:rPr>
                <w:rFonts w:ascii="Times New Roman" w:hAnsi="Times New Roman" w:cs="Times New Roman"/>
                <w:b/>
                <w:lang w:val="en-GB"/>
              </w:rPr>
              <w:t>EUR</w:t>
            </w:r>
          </w:p>
        </w:tc>
      </w:tr>
      <w:tr w:rsidR="0023677C" w:rsidRPr="009422BF" w:rsidTr="009422BF">
        <w:trPr>
          <w:cantSplit/>
          <w:trHeight w:val="345"/>
          <w:jc w:val="center"/>
        </w:trPr>
        <w:tc>
          <w:tcPr>
            <w:tcW w:w="1134" w:type="dxa"/>
          </w:tcPr>
          <w:p w:rsidR="0023677C" w:rsidRPr="00AC3232" w:rsidRDefault="00CA71D6" w:rsidP="009422BF">
            <w:pPr>
              <w:spacing w:after="0"/>
              <w:jc w:val="both"/>
              <w:rPr>
                <w:rFonts w:ascii="Times New Roman" w:hAnsi="Times New Roman" w:cs="Times New Roman"/>
                <w:lang w:val="en-GB"/>
              </w:rPr>
            </w:pPr>
            <w:r>
              <w:rPr>
                <w:rFonts w:ascii="Times New Roman" w:hAnsi="Times New Roman" w:cs="Times New Roman"/>
                <w:lang w:val="en-GB"/>
              </w:rPr>
              <w:t>6</w:t>
            </w:r>
          </w:p>
        </w:tc>
        <w:tc>
          <w:tcPr>
            <w:tcW w:w="6078" w:type="dxa"/>
          </w:tcPr>
          <w:p w:rsidR="0023677C" w:rsidRPr="00AC3232" w:rsidRDefault="0023677C" w:rsidP="009422BF">
            <w:pPr>
              <w:spacing w:after="0"/>
              <w:jc w:val="both"/>
              <w:rPr>
                <w:rFonts w:ascii="Times New Roman" w:hAnsi="Times New Roman" w:cs="Times New Roman"/>
                <w:lang w:val="en-GB"/>
              </w:rPr>
            </w:pPr>
            <w:r w:rsidRPr="00AC3232">
              <w:rPr>
                <w:rFonts w:ascii="Times New Roman" w:hAnsi="Times New Roman" w:cs="Times New Roman"/>
                <w:lang w:val="en-GB"/>
              </w:rPr>
              <w:t>Interim</w:t>
            </w:r>
            <w:r w:rsidR="00AC3232" w:rsidRPr="00AC3232">
              <w:rPr>
                <w:rFonts w:ascii="Times New Roman" w:hAnsi="Times New Roman" w:cs="Times New Roman"/>
                <w:lang w:val="en-GB"/>
              </w:rPr>
              <w:t xml:space="preserve"> payment</w:t>
            </w:r>
          </w:p>
        </w:tc>
        <w:tc>
          <w:tcPr>
            <w:tcW w:w="1520" w:type="dxa"/>
          </w:tcPr>
          <w:p w:rsidR="0023677C" w:rsidRPr="00AC3232" w:rsidRDefault="00CA71D6" w:rsidP="00CA71D6">
            <w:pPr>
              <w:spacing w:after="0"/>
              <w:jc w:val="both"/>
              <w:rPr>
                <w:rFonts w:ascii="Times New Roman" w:hAnsi="Times New Roman" w:cs="Times New Roman"/>
                <w:lang w:val="en-GB"/>
              </w:rPr>
            </w:pPr>
            <w:r>
              <w:rPr>
                <w:rFonts w:ascii="Times New Roman" w:hAnsi="Times New Roman" w:cs="Times New Roman"/>
                <w:lang w:val="en-GB"/>
              </w:rPr>
              <w:t>33</w:t>
            </w:r>
            <w:r w:rsidR="0023677C" w:rsidRPr="00AC3232">
              <w:rPr>
                <w:rFonts w:ascii="Times New Roman" w:hAnsi="Times New Roman" w:cs="Times New Roman"/>
                <w:lang w:val="en-GB"/>
              </w:rPr>
              <w:t>%</w:t>
            </w:r>
          </w:p>
        </w:tc>
      </w:tr>
      <w:tr w:rsidR="009422BF" w:rsidRPr="009422BF" w:rsidTr="00AC3232">
        <w:trPr>
          <w:cantSplit/>
          <w:trHeight w:val="288"/>
          <w:jc w:val="center"/>
        </w:trPr>
        <w:tc>
          <w:tcPr>
            <w:tcW w:w="1134" w:type="dxa"/>
            <w:tcBorders>
              <w:bottom w:val="nil"/>
            </w:tcBorders>
          </w:tcPr>
          <w:p w:rsidR="009422BF" w:rsidRPr="00AC3232" w:rsidRDefault="00CA71D6" w:rsidP="009422BF">
            <w:pPr>
              <w:spacing w:after="0"/>
              <w:jc w:val="both"/>
              <w:rPr>
                <w:rFonts w:ascii="Times New Roman" w:hAnsi="Times New Roman" w:cs="Times New Roman"/>
                <w:lang w:val="en-GB"/>
              </w:rPr>
            </w:pPr>
            <w:r>
              <w:rPr>
                <w:rFonts w:ascii="Times New Roman" w:hAnsi="Times New Roman" w:cs="Times New Roman"/>
                <w:lang w:val="en-GB"/>
              </w:rPr>
              <w:t>12</w:t>
            </w:r>
          </w:p>
        </w:tc>
        <w:tc>
          <w:tcPr>
            <w:tcW w:w="6078" w:type="dxa"/>
            <w:tcBorders>
              <w:bottom w:val="nil"/>
            </w:tcBorders>
          </w:tcPr>
          <w:p w:rsidR="009422BF" w:rsidRPr="00AC3232" w:rsidRDefault="009422BF" w:rsidP="009422BF">
            <w:pPr>
              <w:spacing w:after="0"/>
              <w:jc w:val="both"/>
              <w:rPr>
                <w:rFonts w:ascii="Times New Roman" w:hAnsi="Times New Roman" w:cs="Times New Roman"/>
                <w:lang w:val="en-GB"/>
              </w:rPr>
            </w:pPr>
            <w:r>
              <w:rPr>
                <w:rFonts w:ascii="Times New Roman" w:hAnsi="Times New Roman" w:cs="Times New Roman"/>
                <w:lang w:val="en-GB"/>
              </w:rPr>
              <w:t>Interim</w:t>
            </w:r>
            <w:r w:rsidR="00AC3232">
              <w:rPr>
                <w:rFonts w:ascii="Times New Roman" w:hAnsi="Times New Roman" w:cs="Times New Roman"/>
                <w:lang w:val="en-GB"/>
              </w:rPr>
              <w:t xml:space="preserve"> payment</w:t>
            </w:r>
          </w:p>
        </w:tc>
        <w:tc>
          <w:tcPr>
            <w:tcW w:w="1520" w:type="dxa"/>
            <w:tcBorders>
              <w:bottom w:val="nil"/>
            </w:tcBorders>
          </w:tcPr>
          <w:p w:rsidR="009422BF" w:rsidRPr="00AC3232" w:rsidRDefault="00CA71D6" w:rsidP="0023677C">
            <w:pPr>
              <w:spacing w:after="0"/>
              <w:jc w:val="both"/>
              <w:rPr>
                <w:rFonts w:ascii="Times New Roman" w:hAnsi="Times New Roman" w:cs="Times New Roman"/>
                <w:lang w:val="en-GB"/>
              </w:rPr>
            </w:pPr>
            <w:r>
              <w:rPr>
                <w:rFonts w:ascii="Times New Roman" w:hAnsi="Times New Roman" w:cs="Times New Roman"/>
                <w:lang w:val="en-GB"/>
              </w:rPr>
              <w:t>33</w:t>
            </w:r>
            <w:r w:rsidR="009422BF" w:rsidRPr="00AC3232">
              <w:rPr>
                <w:rFonts w:ascii="Times New Roman" w:hAnsi="Times New Roman" w:cs="Times New Roman"/>
                <w:lang w:val="en-GB"/>
              </w:rPr>
              <w:t>%</w:t>
            </w:r>
          </w:p>
        </w:tc>
      </w:tr>
      <w:tr w:rsidR="009422BF" w:rsidRPr="009422BF" w:rsidTr="00AC3232">
        <w:trPr>
          <w:cantSplit/>
          <w:trHeight w:val="390"/>
          <w:jc w:val="center"/>
        </w:trPr>
        <w:tc>
          <w:tcPr>
            <w:tcW w:w="1134" w:type="dxa"/>
            <w:tcBorders>
              <w:bottom w:val="nil"/>
            </w:tcBorders>
          </w:tcPr>
          <w:p w:rsidR="009422BF" w:rsidRPr="00AC3232" w:rsidRDefault="00CA71D6" w:rsidP="009422BF">
            <w:pPr>
              <w:spacing w:after="0"/>
              <w:jc w:val="both"/>
              <w:rPr>
                <w:rFonts w:ascii="Times New Roman" w:hAnsi="Times New Roman" w:cs="Times New Roman"/>
                <w:lang w:val="en-GB"/>
              </w:rPr>
            </w:pPr>
            <w:r>
              <w:rPr>
                <w:rFonts w:ascii="Times New Roman" w:hAnsi="Times New Roman" w:cs="Times New Roman"/>
                <w:lang w:val="en-GB"/>
              </w:rPr>
              <w:t>18</w:t>
            </w:r>
          </w:p>
        </w:tc>
        <w:tc>
          <w:tcPr>
            <w:tcW w:w="6078" w:type="dxa"/>
            <w:tcBorders>
              <w:bottom w:val="nil"/>
            </w:tcBorders>
          </w:tcPr>
          <w:p w:rsidR="009422BF" w:rsidRPr="00AC3232" w:rsidRDefault="009422BF" w:rsidP="009422BF">
            <w:pPr>
              <w:spacing w:after="0"/>
              <w:jc w:val="both"/>
              <w:rPr>
                <w:rFonts w:ascii="Times New Roman" w:hAnsi="Times New Roman" w:cs="Times New Roman"/>
                <w:lang w:val="en-GB"/>
              </w:rPr>
            </w:pPr>
            <w:r w:rsidRPr="00AC3232">
              <w:rPr>
                <w:rFonts w:ascii="Times New Roman" w:hAnsi="Times New Roman" w:cs="Times New Roman"/>
                <w:lang w:val="en-GB"/>
              </w:rPr>
              <w:t>Balance</w:t>
            </w:r>
          </w:p>
        </w:tc>
        <w:tc>
          <w:tcPr>
            <w:tcW w:w="1520" w:type="dxa"/>
            <w:tcBorders>
              <w:bottom w:val="nil"/>
            </w:tcBorders>
          </w:tcPr>
          <w:p w:rsidR="009422BF" w:rsidRPr="00AC3232" w:rsidRDefault="00CA71D6" w:rsidP="009422BF">
            <w:pPr>
              <w:spacing w:after="0"/>
              <w:jc w:val="both"/>
              <w:rPr>
                <w:rFonts w:ascii="Times New Roman" w:hAnsi="Times New Roman" w:cs="Times New Roman"/>
                <w:lang w:val="en-GB"/>
              </w:rPr>
            </w:pPr>
            <w:r>
              <w:rPr>
                <w:rFonts w:ascii="Times New Roman" w:hAnsi="Times New Roman" w:cs="Times New Roman"/>
                <w:lang w:val="en-GB"/>
              </w:rPr>
              <w:t>34</w:t>
            </w:r>
            <w:r w:rsidR="009422BF" w:rsidRPr="00AC3232">
              <w:rPr>
                <w:rFonts w:ascii="Times New Roman" w:hAnsi="Times New Roman" w:cs="Times New Roman"/>
                <w:lang w:val="en-GB"/>
              </w:rPr>
              <w:t>%*</w:t>
            </w:r>
          </w:p>
        </w:tc>
      </w:tr>
      <w:tr w:rsidR="009422BF" w:rsidRPr="009422BF" w:rsidTr="009422BF">
        <w:trPr>
          <w:cantSplit/>
          <w:trHeight w:val="816"/>
          <w:jc w:val="center"/>
        </w:trPr>
        <w:tc>
          <w:tcPr>
            <w:tcW w:w="1134" w:type="dxa"/>
            <w:tcBorders>
              <w:top w:val="dotted" w:sz="4" w:space="0" w:color="auto"/>
              <w:bottom w:val="single" w:sz="4" w:space="0" w:color="auto"/>
            </w:tcBorders>
            <w:shd w:val="pct10" w:color="auto" w:fill="FFFFFF"/>
          </w:tcPr>
          <w:p w:rsidR="009422BF" w:rsidRPr="009422BF" w:rsidRDefault="009422BF" w:rsidP="009422BF">
            <w:pPr>
              <w:spacing w:after="0"/>
              <w:jc w:val="both"/>
              <w:rPr>
                <w:rFonts w:ascii="Times New Roman" w:hAnsi="Times New Roman" w:cs="Times New Roman"/>
                <w:b/>
                <w:lang w:val="en-GB"/>
              </w:rPr>
            </w:pPr>
          </w:p>
        </w:tc>
        <w:tc>
          <w:tcPr>
            <w:tcW w:w="6078" w:type="dxa"/>
            <w:tcBorders>
              <w:top w:val="dotted" w:sz="4" w:space="0" w:color="auto"/>
              <w:bottom w:val="single" w:sz="4" w:space="0" w:color="auto"/>
            </w:tcBorders>
            <w:shd w:val="pct10" w:color="auto" w:fill="FFFFFF"/>
          </w:tcPr>
          <w:p w:rsidR="009422BF" w:rsidRPr="009422BF" w:rsidRDefault="009422BF" w:rsidP="009422BF">
            <w:pPr>
              <w:spacing w:after="0"/>
              <w:jc w:val="both"/>
              <w:rPr>
                <w:rFonts w:ascii="Times New Roman" w:hAnsi="Times New Roman" w:cs="Times New Roman"/>
                <w:b/>
                <w:lang w:val="en-GB"/>
              </w:rPr>
            </w:pPr>
            <w:r w:rsidRPr="009422BF">
              <w:rPr>
                <w:rFonts w:ascii="Times New Roman" w:hAnsi="Times New Roman" w:cs="Times New Roman"/>
                <w:b/>
                <w:lang w:val="en-GB"/>
              </w:rPr>
              <w:t>Total</w:t>
            </w:r>
          </w:p>
        </w:tc>
        <w:tc>
          <w:tcPr>
            <w:tcW w:w="1520" w:type="dxa"/>
            <w:tcBorders>
              <w:top w:val="dotted" w:sz="4" w:space="0" w:color="auto"/>
              <w:bottom w:val="single" w:sz="4" w:space="0" w:color="auto"/>
            </w:tcBorders>
            <w:shd w:val="pct10" w:color="auto" w:fill="FFFFFF"/>
          </w:tcPr>
          <w:p w:rsidR="009422BF" w:rsidRPr="009422BF" w:rsidRDefault="009422BF" w:rsidP="009422BF">
            <w:pPr>
              <w:spacing w:after="0"/>
              <w:jc w:val="both"/>
              <w:rPr>
                <w:rFonts w:ascii="Times New Roman" w:hAnsi="Times New Roman" w:cs="Times New Roman"/>
                <w:lang w:val="en-GB"/>
              </w:rPr>
            </w:pPr>
            <w:r w:rsidRPr="009422BF">
              <w:rPr>
                <w:rFonts w:ascii="Times New Roman" w:hAnsi="Times New Roman" w:cs="Times New Roman"/>
                <w:lang w:val="en-GB"/>
              </w:rPr>
              <w:t>&lt;Total contract value&gt;</w:t>
            </w:r>
          </w:p>
        </w:tc>
      </w:tr>
    </w:tbl>
    <w:p w:rsidR="00056F91" w:rsidRDefault="00056F91" w:rsidP="007C561E">
      <w:pPr>
        <w:spacing w:after="0"/>
        <w:jc w:val="both"/>
        <w:rPr>
          <w:rFonts w:ascii="Times New Roman" w:hAnsi="Times New Roman" w:cs="Times New Roman"/>
          <w:lang w:val="en-GB"/>
        </w:rPr>
      </w:pPr>
    </w:p>
    <w:p w:rsidR="0023677C" w:rsidRDefault="0023677C"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In case of Interim payments t</w:t>
      </w:r>
      <w:r w:rsidRPr="00E53649">
        <w:rPr>
          <w:rFonts w:ascii="Times New Roman" w:hAnsi="Times New Roman" w:cs="Times New Roman"/>
          <w:sz w:val="24"/>
          <w:szCs w:val="24"/>
          <w:lang w:val="en-GB"/>
        </w:rPr>
        <w:t xml:space="preserve">he contractor will provide contracting authority with the brief </w:t>
      </w:r>
      <w:r>
        <w:rPr>
          <w:rFonts w:ascii="Times New Roman" w:hAnsi="Times New Roman" w:cs="Times New Roman"/>
          <w:sz w:val="24"/>
          <w:szCs w:val="24"/>
          <w:lang w:val="en-GB"/>
        </w:rPr>
        <w:t xml:space="preserve">interim </w:t>
      </w:r>
      <w:r w:rsidRPr="00E53649">
        <w:rPr>
          <w:rFonts w:ascii="Times New Roman" w:hAnsi="Times New Roman" w:cs="Times New Roman"/>
          <w:sz w:val="24"/>
          <w:szCs w:val="24"/>
          <w:lang w:val="en-GB"/>
        </w:rPr>
        <w:t xml:space="preserve">report on execution of the services, which will represent the basis for issuing </w:t>
      </w:r>
      <w:r>
        <w:rPr>
          <w:rFonts w:ascii="Times New Roman" w:hAnsi="Times New Roman" w:cs="Times New Roman"/>
          <w:sz w:val="24"/>
          <w:szCs w:val="24"/>
          <w:lang w:val="en-GB"/>
        </w:rPr>
        <w:t>interim</w:t>
      </w:r>
      <w:r w:rsidRPr="00E53649">
        <w:rPr>
          <w:rFonts w:ascii="Times New Roman" w:hAnsi="Times New Roman" w:cs="Times New Roman"/>
          <w:sz w:val="24"/>
          <w:szCs w:val="24"/>
          <w:lang w:val="en-GB"/>
        </w:rPr>
        <w:t xml:space="preserve"> payment</w:t>
      </w:r>
      <w:r>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rsidR="00056F91" w:rsidRPr="00B10AE7" w:rsidRDefault="00FE5586"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056F91"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balance final payment</w:t>
      </w:r>
      <w:r w:rsidR="0023677C">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0214A6">
        <w:rPr>
          <w:rFonts w:ascii="Times New Roman" w:hAnsi="Times New Roman" w:cs="Times New Roman"/>
          <w:sz w:val="24"/>
          <w:szCs w:val="24"/>
          <w:lang w:val="en-GB"/>
        </w:rPr>
        <w:t xml:space="preserve">18 </w:t>
      </w:r>
      <w:r w:rsidR="00A24551">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16D8D" w:rsidRPr="00816D8D">
        <w:rPr>
          <w:rFonts w:ascii="Times New Roman" w:hAnsi="Times New Roman" w:cs="Times New Roman"/>
          <w:sz w:val="24"/>
          <w:szCs w:val="24"/>
          <w:lang w:val="en-GB"/>
        </w:rPr>
        <w:t>date of signature of the contract by both parties</w:t>
      </w:r>
      <w:r w:rsidR="00816D8D">
        <w:rPr>
          <w:rFonts w:ascii="Times New Roman" w:hAnsi="Times New Roman" w:cs="Times New Roman"/>
          <w:sz w:val="24"/>
          <w:szCs w:val="24"/>
          <w:lang w:val="en-GB"/>
        </w:rPr>
        <w: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A24551">
        <w:rPr>
          <w:rFonts w:ascii="Times New Roman" w:hAnsi="Times New Roman" w:cs="Times New Roman"/>
          <w:sz w:val="24"/>
          <w:szCs w:val="24"/>
          <w:lang w:val="en-GB"/>
        </w:rPr>
        <w:t>Serbian competent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25F6" w:rsidRDefault="000425F6" w:rsidP="002D4560">
      <w:pPr>
        <w:spacing w:after="0" w:line="240" w:lineRule="auto"/>
      </w:pPr>
      <w:r>
        <w:separator/>
      </w:r>
    </w:p>
  </w:endnote>
  <w:endnote w:type="continuationSeparator" w:id="1">
    <w:p w:rsidR="000425F6" w:rsidRDefault="000425F6"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A729A3">
      <w:rPr>
        <w:b/>
        <w:bCs/>
      </w:rPr>
      <w:fldChar w:fldCharType="begin"/>
    </w:r>
    <w:r>
      <w:rPr>
        <w:b/>
        <w:bCs/>
      </w:rPr>
      <w:instrText xml:space="preserve"> PAGE </w:instrText>
    </w:r>
    <w:r w:rsidR="00A729A3">
      <w:rPr>
        <w:b/>
        <w:bCs/>
      </w:rPr>
      <w:fldChar w:fldCharType="separate"/>
    </w:r>
    <w:r w:rsidR="00850697">
      <w:rPr>
        <w:b/>
        <w:bCs/>
        <w:noProof/>
      </w:rPr>
      <w:t>10</w:t>
    </w:r>
    <w:r w:rsidR="00A729A3">
      <w:rPr>
        <w:b/>
        <w:bCs/>
      </w:rPr>
      <w:fldChar w:fldCharType="end"/>
    </w:r>
    <w:r>
      <w:t xml:space="preserve"> of </w:t>
    </w:r>
    <w:r w:rsidR="00A729A3">
      <w:rPr>
        <w:b/>
        <w:bCs/>
      </w:rPr>
      <w:fldChar w:fldCharType="begin"/>
    </w:r>
    <w:r>
      <w:rPr>
        <w:b/>
        <w:bCs/>
      </w:rPr>
      <w:instrText xml:space="preserve"> NUMPAGES  </w:instrText>
    </w:r>
    <w:r w:rsidR="00A729A3">
      <w:rPr>
        <w:b/>
        <w:bCs/>
      </w:rPr>
      <w:fldChar w:fldCharType="separate"/>
    </w:r>
    <w:r w:rsidR="00850697">
      <w:rPr>
        <w:b/>
        <w:bCs/>
        <w:noProof/>
      </w:rPr>
      <w:t>10</w:t>
    </w:r>
    <w:r w:rsidR="00A729A3">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25F6" w:rsidRDefault="000425F6" w:rsidP="002D4560">
      <w:pPr>
        <w:spacing w:after="0" w:line="240" w:lineRule="auto"/>
      </w:pPr>
      <w:r>
        <w:separator/>
      </w:r>
    </w:p>
  </w:footnote>
  <w:footnote w:type="continuationSeparator" w:id="1">
    <w:p w:rsidR="000425F6" w:rsidRDefault="000425F6"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C7479"/>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43AB37CE"/>
    <w:multiLevelType w:val="hybridMultilevel"/>
    <w:tmpl w:val="2F9CCA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5"/>
  </w:num>
  <w:num w:numId="3">
    <w:abstractNumId w:val="7"/>
  </w:num>
  <w:num w:numId="4">
    <w:abstractNumId w:val="6"/>
  </w:num>
  <w:num w:numId="5">
    <w:abstractNumId w:val="2"/>
  </w:num>
  <w:num w:numId="6">
    <w:abstractNumId w:val="8"/>
  </w:num>
  <w:num w:numId="7">
    <w:abstractNumId w:val="1"/>
  </w:num>
  <w:num w:numId="8">
    <w:abstractNumId w:val="0"/>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14A6"/>
    <w:rsid w:val="000227D0"/>
    <w:rsid w:val="00027C0E"/>
    <w:rsid w:val="00033549"/>
    <w:rsid w:val="0003702F"/>
    <w:rsid w:val="000425F6"/>
    <w:rsid w:val="00044B01"/>
    <w:rsid w:val="00051436"/>
    <w:rsid w:val="00056F91"/>
    <w:rsid w:val="00066332"/>
    <w:rsid w:val="00084AAA"/>
    <w:rsid w:val="0009046E"/>
    <w:rsid w:val="00092819"/>
    <w:rsid w:val="000A1DF2"/>
    <w:rsid w:val="000A3227"/>
    <w:rsid w:val="000C2129"/>
    <w:rsid w:val="000D65DB"/>
    <w:rsid w:val="000E2941"/>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A44A4"/>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677C"/>
    <w:rsid w:val="00237E05"/>
    <w:rsid w:val="00243453"/>
    <w:rsid w:val="00244CDA"/>
    <w:rsid w:val="0024540E"/>
    <w:rsid w:val="00245AA6"/>
    <w:rsid w:val="00252A8A"/>
    <w:rsid w:val="00264F74"/>
    <w:rsid w:val="00273445"/>
    <w:rsid w:val="00275D40"/>
    <w:rsid w:val="0028216F"/>
    <w:rsid w:val="002902B4"/>
    <w:rsid w:val="002951A0"/>
    <w:rsid w:val="00296DF4"/>
    <w:rsid w:val="002A135E"/>
    <w:rsid w:val="002A67F7"/>
    <w:rsid w:val="002C21E5"/>
    <w:rsid w:val="002C3A25"/>
    <w:rsid w:val="002C468C"/>
    <w:rsid w:val="002D4560"/>
    <w:rsid w:val="002F19CD"/>
    <w:rsid w:val="002F2846"/>
    <w:rsid w:val="002F4544"/>
    <w:rsid w:val="002F4D3B"/>
    <w:rsid w:val="002F5490"/>
    <w:rsid w:val="0030169E"/>
    <w:rsid w:val="00302002"/>
    <w:rsid w:val="00311E6A"/>
    <w:rsid w:val="00320507"/>
    <w:rsid w:val="00324B5D"/>
    <w:rsid w:val="003259C8"/>
    <w:rsid w:val="00325E84"/>
    <w:rsid w:val="0033615C"/>
    <w:rsid w:val="00344AD5"/>
    <w:rsid w:val="00354987"/>
    <w:rsid w:val="00357B85"/>
    <w:rsid w:val="00372D99"/>
    <w:rsid w:val="003775AB"/>
    <w:rsid w:val="00385A53"/>
    <w:rsid w:val="00393B3E"/>
    <w:rsid w:val="00396982"/>
    <w:rsid w:val="00396A43"/>
    <w:rsid w:val="003B5BA3"/>
    <w:rsid w:val="003C0D1A"/>
    <w:rsid w:val="003C72D5"/>
    <w:rsid w:val="003D16DD"/>
    <w:rsid w:val="003D3D59"/>
    <w:rsid w:val="003E6991"/>
    <w:rsid w:val="00401340"/>
    <w:rsid w:val="004023F8"/>
    <w:rsid w:val="004033C8"/>
    <w:rsid w:val="004450F9"/>
    <w:rsid w:val="00451859"/>
    <w:rsid w:val="00455888"/>
    <w:rsid w:val="00463929"/>
    <w:rsid w:val="004657F2"/>
    <w:rsid w:val="0046608B"/>
    <w:rsid w:val="004672BE"/>
    <w:rsid w:val="00477040"/>
    <w:rsid w:val="00480F40"/>
    <w:rsid w:val="00487E8E"/>
    <w:rsid w:val="00492975"/>
    <w:rsid w:val="004B26C1"/>
    <w:rsid w:val="004B4D74"/>
    <w:rsid w:val="004B5768"/>
    <w:rsid w:val="004B66CE"/>
    <w:rsid w:val="004D3096"/>
    <w:rsid w:val="004E0DCB"/>
    <w:rsid w:val="004E435D"/>
    <w:rsid w:val="004F0A92"/>
    <w:rsid w:val="004F3715"/>
    <w:rsid w:val="00516F37"/>
    <w:rsid w:val="00536A4F"/>
    <w:rsid w:val="005409AE"/>
    <w:rsid w:val="0054434C"/>
    <w:rsid w:val="00547679"/>
    <w:rsid w:val="00553D4C"/>
    <w:rsid w:val="00555EEE"/>
    <w:rsid w:val="005633C8"/>
    <w:rsid w:val="0057006B"/>
    <w:rsid w:val="005701C4"/>
    <w:rsid w:val="00576CF9"/>
    <w:rsid w:val="005855DC"/>
    <w:rsid w:val="005906D4"/>
    <w:rsid w:val="005960D0"/>
    <w:rsid w:val="005E0861"/>
    <w:rsid w:val="005E7112"/>
    <w:rsid w:val="005F5B17"/>
    <w:rsid w:val="00606427"/>
    <w:rsid w:val="00641D80"/>
    <w:rsid w:val="00643A00"/>
    <w:rsid w:val="00660BC4"/>
    <w:rsid w:val="00672B2D"/>
    <w:rsid w:val="006756AB"/>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7F2FC2"/>
    <w:rsid w:val="00803DB2"/>
    <w:rsid w:val="008100D1"/>
    <w:rsid w:val="00814652"/>
    <w:rsid w:val="00816D8D"/>
    <w:rsid w:val="00832F40"/>
    <w:rsid w:val="008363DD"/>
    <w:rsid w:val="0084127A"/>
    <w:rsid w:val="0084734E"/>
    <w:rsid w:val="00847E2F"/>
    <w:rsid w:val="00850697"/>
    <w:rsid w:val="00855FE4"/>
    <w:rsid w:val="00876E1A"/>
    <w:rsid w:val="0088079E"/>
    <w:rsid w:val="0089099D"/>
    <w:rsid w:val="00891CA2"/>
    <w:rsid w:val="00895D72"/>
    <w:rsid w:val="008A4229"/>
    <w:rsid w:val="008A5174"/>
    <w:rsid w:val="008B213D"/>
    <w:rsid w:val="008B302E"/>
    <w:rsid w:val="008E3CC5"/>
    <w:rsid w:val="0091606D"/>
    <w:rsid w:val="00921775"/>
    <w:rsid w:val="009232FB"/>
    <w:rsid w:val="00925193"/>
    <w:rsid w:val="00937AA4"/>
    <w:rsid w:val="009422BF"/>
    <w:rsid w:val="00951DFE"/>
    <w:rsid w:val="00956630"/>
    <w:rsid w:val="00963CA3"/>
    <w:rsid w:val="0096743C"/>
    <w:rsid w:val="00972166"/>
    <w:rsid w:val="00980D47"/>
    <w:rsid w:val="00983940"/>
    <w:rsid w:val="0099045A"/>
    <w:rsid w:val="00994566"/>
    <w:rsid w:val="009A0DD1"/>
    <w:rsid w:val="009B5048"/>
    <w:rsid w:val="009B5C6A"/>
    <w:rsid w:val="009C0523"/>
    <w:rsid w:val="009F0C26"/>
    <w:rsid w:val="009F2CC0"/>
    <w:rsid w:val="009F495C"/>
    <w:rsid w:val="00A0258F"/>
    <w:rsid w:val="00A1769B"/>
    <w:rsid w:val="00A22EB9"/>
    <w:rsid w:val="00A24551"/>
    <w:rsid w:val="00A40762"/>
    <w:rsid w:val="00A408C1"/>
    <w:rsid w:val="00A46126"/>
    <w:rsid w:val="00A46E3A"/>
    <w:rsid w:val="00A61E18"/>
    <w:rsid w:val="00A714BE"/>
    <w:rsid w:val="00A729A3"/>
    <w:rsid w:val="00A746D7"/>
    <w:rsid w:val="00A7747B"/>
    <w:rsid w:val="00AB3D10"/>
    <w:rsid w:val="00AB4BBD"/>
    <w:rsid w:val="00AC01DB"/>
    <w:rsid w:val="00AC3232"/>
    <w:rsid w:val="00AF1DC5"/>
    <w:rsid w:val="00AF5A2C"/>
    <w:rsid w:val="00B02A46"/>
    <w:rsid w:val="00B07FCD"/>
    <w:rsid w:val="00B10658"/>
    <w:rsid w:val="00B10AE7"/>
    <w:rsid w:val="00B1155B"/>
    <w:rsid w:val="00B1343A"/>
    <w:rsid w:val="00B24228"/>
    <w:rsid w:val="00B513A4"/>
    <w:rsid w:val="00B70E0A"/>
    <w:rsid w:val="00B71A34"/>
    <w:rsid w:val="00B758F7"/>
    <w:rsid w:val="00B91864"/>
    <w:rsid w:val="00B91F09"/>
    <w:rsid w:val="00BA3BE1"/>
    <w:rsid w:val="00BA62FA"/>
    <w:rsid w:val="00BC1AE1"/>
    <w:rsid w:val="00BC35A1"/>
    <w:rsid w:val="00BF0FE3"/>
    <w:rsid w:val="00C065B4"/>
    <w:rsid w:val="00C1440E"/>
    <w:rsid w:val="00C314B2"/>
    <w:rsid w:val="00C35D44"/>
    <w:rsid w:val="00C442C8"/>
    <w:rsid w:val="00C54BE8"/>
    <w:rsid w:val="00C821DB"/>
    <w:rsid w:val="00C877BB"/>
    <w:rsid w:val="00CA71D6"/>
    <w:rsid w:val="00CB1225"/>
    <w:rsid w:val="00CB417E"/>
    <w:rsid w:val="00CC6C1C"/>
    <w:rsid w:val="00CD251C"/>
    <w:rsid w:val="00CD5AFD"/>
    <w:rsid w:val="00CE64AA"/>
    <w:rsid w:val="00CF0F4D"/>
    <w:rsid w:val="00D008C5"/>
    <w:rsid w:val="00D049A8"/>
    <w:rsid w:val="00D04F0C"/>
    <w:rsid w:val="00D26921"/>
    <w:rsid w:val="00D43005"/>
    <w:rsid w:val="00D62F19"/>
    <w:rsid w:val="00D65234"/>
    <w:rsid w:val="00D72306"/>
    <w:rsid w:val="00D90E89"/>
    <w:rsid w:val="00D91613"/>
    <w:rsid w:val="00DA184B"/>
    <w:rsid w:val="00DB0829"/>
    <w:rsid w:val="00DE4186"/>
    <w:rsid w:val="00DE66B2"/>
    <w:rsid w:val="00DF5898"/>
    <w:rsid w:val="00DF5C73"/>
    <w:rsid w:val="00E14CB2"/>
    <w:rsid w:val="00E24A08"/>
    <w:rsid w:val="00E26FE6"/>
    <w:rsid w:val="00E35C79"/>
    <w:rsid w:val="00E46AFE"/>
    <w:rsid w:val="00E5143D"/>
    <w:rsid w:val="00E53649"/>
    <w:rsid w:val="00E650E8"/>
    <w:rsid w:val="00E7294F"/>
    <w:rsid w:val="00EA176A"/>
    <w:rsid w:val="00EC6F96"/>
    <w:rsid w:val="00ED271B"/>
    <w:rsid w:val="00ED582B"/>
    <w:rsid w:val="00ED5FF2"/>
    <w:rsid w:val="00EE0084"/>
    <w:rsid w:val="00EE1D3E"/>
    <w:rsid w:val="00EE74C3"/>
    <w:rsid w:val="00EF189C"/>
    <w:rsid w:val="00EF3092"/>
    <w:rsid w:val="00F301EA"/>
    <w:rsid w:val="00F3026C"/>
    <w:rsid w:val="00F30703"/>
    <w:rsid w:val="00F307E5"/>
    <w:rsid w:val="00F46209"/>
    <w:rsid w:val="00F54FC5"/>
    <w:rsid w:val="00F85953"/>
    <w:rsid w:val="00F97284"/>
    <w:rsid w:val="00FA07B2"/>
    <w:rsid w:val="00FA6347"/>
    <w:rsid w:val="00FB5BBF"/>
    <w:rsid w:val="00FE55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qFormat/>
    <w:locked/>
    <w:rsid w:val="00D90E89"/>
    <w:pPr>
      <w:keepNext/>
      <w:spacing w:after="0"/>
      <w:jc w:val="both"/>
      <w:outlineLvl w:val="0"/>
    </w:pPr>
    <w:rPr>
      <w:rFonts w:ascii="Times New Roman" w:hAnsi="Times New Roman" w:cs="Times New Roman"/>
      <w:b/>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Heading1Char">
    <w:name w:val="Heading 1 Char"/>
    <w:basedOn w:val="DefaultParagraphFont"/>
    <w:link w:val="Heading1"/>
    <w:rsid w:val="00D90E89"/>
    <w:rPr>
      <w:rFonts w:ascii="Times New Roman" w:hAnsi="Times New Roman"/>
      <w:b/>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43065-06C5-4B73-9CB4-1F587119E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10</Pages>
  <Words>2695</Words>
  <Characters>15363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daliborsi</cp:lastModifiedBy>
  <cp:revision>3</cp:revision>
  <cp:lastPrinted>2015-06-29T10:20:00Z</cp:lastPrinted>
  <dcterms:created xsi:type="dcterms:W3CDTF">2015-11-05T12:49:00Z</dcterms:created>
  <dcterms:modified xsi:type="dcterms:W3CDTF">2017-11-20T10:28:00Z</dcterms:modified>
</cp:coreProperties>
</file>