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3EBC8" w14:textId="77777777" w:rsidR="007260DF" w:rsidRPr="00FB02EF" w:rsidRDefault="007260DF" w:rsidP="007260DF">
      <w:pPr>
        <w:pStyle w:val="Footer"/>
        <w:jc w:val="center"/>
        <w:rPr>
          <w:b/>
          <w:sz w:val="28"/>
          <w:szCs w:val="28"/>
        </w:rPr>
      </w:pPr>
      <w:r w:rsidRPr="00FB02EF">
        <w:rPr>
          <w:b/>
          <w:sz w:val="28"/>
          <w:szCs w:val="28"/>
        </w:rPr>
        <w:t>EVALUATION GRID</w:t>
      </w:r>
      <w:r>
        <w:rPr>
          <w:b/>
          <w:sz w:val="28"/>
          <w:szCs w:val="28"/>
        </w:rPr>
        <w:t xml:space="preserve"> FOR GLOBAL PRICE CONTRACTS</w:t>
      </w:r>
    </w:p>
    <w:p w14:paraId="0A0DF7B7" w14:textId="77777777" w:rsidR="007553D0" w:rsidRPr="007553D0" w:rsidRDefault="007553D0" w:rsidP="007553D0">
      <w:pPr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6"/>
        <w:gridCol w:w="1417"/>
      </w:tblGrid>
      <w:tr w:rsidR="007553D0" w:rsidRPr="007553D0" w14:paraId="73BB650F" w14:textId="77777777" w:rsidTr="007260DF">
        <w:trPr>
          <w:cantSplit/>
          <w:jc w:val="center"/>
        </w:trPr>
        <w:tc>
          <w:tcPr>
            <w:tcW w:w="6736" w:type="dxa"/>
            <w:shd w:val="clear" w:color="auto" w:fill="FDE9D9" w:themeFill="accent6" w:themeFillTint="33"/>
          </w:tcPr>
          <w:p w14:paraId="54E4D38A" w14:textId="4D6B0295" w:rsidR="007553D0" w:rsidRPr="007553D0" w:rsidRDefault="008E60CB" w:rsidP="007260DF">
            <w:pPr>
              <w:spacing w:before="100" w:beforeAutospacing="1" w:after="100" w:afterAutospacing="1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Criteria 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6994277A" w14:textId="77777777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 xml:space="preserve">Maximum </w:t>
            </w:r>
          </w:p>
        </w:tc>
      </w:tr>
      <w:tr w:rsidR="007553D0" w:rsidRPr="007553D0" w14:paraId="0E039608" w14:textId="77777777" w:rsidTr="007260DF">
        <w:trPr>
          <w:cantSplit/>
          <w:jc w:val="center"/>
        </w:trPr>
        <w:tc>
          <w:tcPr>
            <w:tcW w:w="6736" w:type="dxa"/>
            <w:shd w:val="clear" w:color="auto" w:fill="auto"/>
          </w:tcPr>
          <w:p w14:paraId="7720E64F" w14:textId="2C7E1B61" w:rsidR="007553D0" w:rsidRPr="007553D0" w:rsidRDefault="008E60CB" w:rsidP="007260DF">
            <w:pPr>
              <w:spacing w:before="100" w:beforeAutospacing="1" w:after="100" w:afterAutospacing="1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Organization</w:t>
            </w:r>
            <w:r w:rsidR="007553D0" w:rsidRPr="007553D0">
              <w:rPr>
                <w:b/>
                <w:lang w:val="en-US"/>
              </w:rPr>
              <w:t xml:space="preserve"> and methodology</w:t>
            </w:r>
          </w:p>
        </w:tc>
        <w:tc>
          <w:tcPr>
            <w:tcW w:w="1417" w:type="dxa"/>
            <w:shd w:val="clear" w:color="auto" w:fill="auto"/>
          </w:tcPr>
          <w:p w14:paraId="44305A43" w14:textId="77777777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60</w:t>
            </w:r>
          </w:p>
        </w:tc>
      </w:tr>
      <w:tr w:rsidR="007553D0" w:rsidRPr="007553D0" w14:paraId="60EED3D3" w14:textId="77777777" w:rsidTr="007260DF">
        <w:trPr>
          <w:cantSplit/>
          <w:jc w:val="center"/>
        </w:trPr>
        <w:tc>
          <w:tcPr>
            <w:tcW w:w="6736" w:type="dxa"/>
            <w:shd w:val="clear" w:color="auto" w:fill="auto"/>
          </w:tcPr>
          <w:p w14:paraId="5F801B51" w14:textId="72196BA3" w:rsidR="007553D0" w:rsidRPr="007553D0" w:rsidRDefault="007553D0" w:rsidP="007260DF">
            <w:pPr>
              <w:spacing w:before="100" w:beforeAutospacing="1" w:after="100" w:afterAutospacing="1"/>
              <w:ind w:left="720"/>
              <w:rPr>
                <w:lang w:val="en-US"/>
              </w:rPr>
            </w:pPr>
            <w:r w:rsidRPr="007553D0">
              <w:rPr>
                <w:lang w:val="en-US"/>
              </w:rPr>
              <w:t>Rationale</w:t>
            </w:r>
          </w:p>
        </w:tc>
        <w:tc>
          <w:tcPr>
            <w:tcW w:w="1417" w:type="dxa"/>
            <w:shd w:val="clear" w:color="auto" w:fill="auto"/>
          </w:tcPr>
          <w:p w14:paraId="50A4E4EA" w14:textId="63AAC01A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7553D0">
              <w:rPr>
                <w:lang w:val="en-US"/>
              </w:rPr>
              <w:t>20</w:t>
            </w:r>
          </w:p>
        </w:tc>
      </w:tr>
      <w:tr w:rsidR="007553D0" w:rsidRPr="007553D0" w14:paraId="410FEEC0" w14:textId="77777777" w:rsidTr="007260DF">
        <w:trPr>
          <w:cantSplit/>
          <w:jc w:val="center"/>
        </w:trPr>
        <w:tc>
          <w:tcPr>
            <w:tcW w:w="6736" w:type="dxa"/>
            <w:shd w:val="clear" w:color="auto" w:fill="auto"/>
          </w:tcPr>
          <w:p w14:paraId="6EE12DB3" w14:textId="1B471A2A" w:rsidR="007553D0" w:rsidRPr="007553D0" w:rsidRDefault="007553D0" w:rsidP="007260DF">
            <w:pPr>
              <w:spacing w:before="100" w:beforeAutospacing="1" w:after="100" w:afterAutospacing="1"/>
              <w:ind w:left="720"/>
              <w:rPr>
                <w:lang w:val="en-US"/>
              </w:rPr>
            </w:pPr>
            <w:r w:rsidRPr="007553D0">
              <w:rPr>
                <w:lang w:val="en-US"/>
              </w:rPr>
              <w:t>Strategy</w:t>
            </w:r>
          </w:p>
        </w:tc>
        <w:tc>
          <w:tcPr>
            <w:tcW w:w="1417" w:type="dxa"/>
            <w:shd w:val="clear" w:color="auto" w:fill="auto"/>
          </w:tcPr>
          <w:p w14:paraId="4FA326AF" w14:textId="28988222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7553D0">
              <w:rPr>
                <w:lang w:val="en-US"/>
              </w:rPr>
              <w:t>20</w:t>
            </w:r>
          </w:p>
        </w:tc>
      </w:tr>
      <w:tr w:rsidR="007553D0" w:rsidRPr="007553D0" w14:paraId="1605C718" w14:textId="77777777" w:rsidTr="007260DF">
        <w:trPr>
          <w:cantSplit/>
          <w:jc w:val="center"/>
        </w:trPr>
        <w:tc>
          <w:tcPr>
            <w:tcW w:w="6736" w:type="dxa"/>
            <w:shd w:val="clear" w:color="auto" w:fill="auto"/>
          </w:tcPr>
          <w:p w14:paraId="1012BBEC" w14:textId="76B39D69" w:rsidR="007553D0" w:rsidRPr="007553D0" w:rsidRDefault="007553D0" w:rsidP="007260DF">
            <w:pPr>
              <w:spacing w:before="100" w:beforeAutospacing="1" w:after="100" w:afterAutospacing="1"/>
              <w:ind w:left="720"/>
              <w:rPr>
                <w:lang w:val="en-US"/>
              </w:rPr>
            </w:pPr>
            <w:r w:rsidRPr="007553D0">
              <w:rPr>
                <w:lang w:val="en-US"/>
              </w:rPr>
              <w:t>Back-up function</w:t>
            </w:r>
          </w:p>
        </w:tc>
        <w:tc>
          <w:tcPr>
            <w:tcW w:w="1417" w:type="dxa"/>
            <w:shd w:val="clear" w:color="auto" w:fill="auto"/>
          </w:tcPr>
          <w:p w14:paraId="39C0017C" w14:textId="7DC52046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7553D0">
              <w:rPr>
                <w:lang w:val="en-US"/>
              </w:rPr>
              <w:t>20</w:t>
            </w:r>
          </w:p>
        </w:tc>
      </w:tr>
      <w:tr w:rsidR="007553D0" w:rsidRPr="007553D0" w14:paraId="52E47A18" w14:textId="77777777" w:rsidTr="007260DF">
        <w:trPr>
          <w:cantSplit/>
          <w:jc w:val="center"/>
        </w:trPr>
        <w:tc>
          <w:tcPr>
            <w:tcW w:w="6736" w:type="dxa"/>
          </w:tcPr>
          <w:p w14:paraId="3A9F74A4" w14:textId="1717A7CF" w:rsidR="007553D0" w:rsidRPr="007553D0" w:rsidRDefault="007553D0" w:rsidP="007260DF">
            <w:pPr>
              <w:spacing w:before="100" w:beforeAutospacing="1" w:after="100" w:afterAutospacing="1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Key expert</w:t>
            </w:r>
          </w:p>
        </w:tc>
        <w:tc>
          <w:tcPr>
            <w:tcW w:w="1417" w:type="dxa"/>
          </w:tcPr>
          <w:p w14:paraId="124A9936" w14:textId="77777777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20</w:t>
            </w:r>
          </w:p>
        </w:tc>
      </w:tr>
      <w:tr w:rsidR="007553D0" w:rsidRPr="007553D0" w14:paraId="2BEE926E" w14:textId="77777777" w:rsidTr="007260DF">
        <w:trPr>
          <w:cantSplit/>
          <w:jc w:val="center"/>
        </w:trPr>
        <w:tc>
          <w:tcPr>
            <w:tcW w:w="6736" w:type="dxa"/>
          </w:tcPr>
          <w:p w14:paraId="222CBD84" w14:textId="77777777" w:rsidR="007553D0" w:rsidRPr="007553D0" w:rsidRDefault="007553D0" w:rsidP="007260DF">
            <w:pPr>
              <w:spacing w:before="100" w:beforeAutospacing="1" w:after="100" w:afterAutospacing="1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Timetable of activities</w:t>
            </w:r>
          </w:p>
        </w:tc>
        <w:tc>
          <w:tcPr>
            <w:tcW w:w="1417" w:type="dxa"/>
          </w:tcPr>
          <w:p w14:paraId="296F3FC8" w14:textId="77777777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20</w:t>
            </w:r>
          </w:p>
        </w:tc>
      </w:tr>
      <w:tr w:rsidR="007553D0" w:rsidRPr="007553D0" w14:paraId="69F1F990" w14:textId="77777777" w:rsidTr="007260DF">
        <w:trPr>
          <w:cantSplit/>
          <w:jc w:val="center"/>
        </w:trPr>
        <w:tc>
          <w:tcPr>
            <w:tcW w:w="6736" w:type="dxa"/>
            <w:shd w:val="clear" w:color="auto" w:fill="DAEEF3" w:themeFill="accent5" w:themeFillTint="33"/>
          </w:tcPr>
          <w:p w14:paraId="4295BB90" w14:textId="77777777" w:rsidR="007553D0" w:rsidRPr="007553D0" w:rsidRDefault="007553D0" w:rsidP="007260DF">
            <w:pPr>
              <w:spacing w:before="100" w:beforeAutospacing="1" w:after="100" w:afterAutospacing="1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Overall total score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05495942" w14:textId="77777777" w:rsidR="007553D0" w:rsidRPr="007553D0" w:rsidRDefault="007553D0" w:rsidP="007260D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100</w:t>
            </w:r>
          </w:p>
        </w:tc>
      </w:tr>
    </w:tbl>
    <w:p w14:paraId="02FFF92F" w14:textId="77777777" w:rsidR="007553D0" w:rsidRPr="007553D0" w:rsidRDefault="007553D0" w:rsidP="007553D0">
      <w:pPr>
        <w:pStyle w:val="Footer"/>
        <w:rPr>
          <w:b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7553D0" w:rsidRPr="007553D0" w14:paraId="0CB6067C" w14:textId="77777777" w:rsidTr="00361FD2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56C55FB" w14:textId="77777777" w:rsidR="007553D0" w:rsidRPr="007553D0" w:rsidRDefault="007553D0" w:rsidP="00361FD2">
            <w:pPr>
              <w:spacing w:after="120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Strengths</w:t>
            </w:r>
          </w:p>
        </w:tc>
        <w:tc>
          <w:tcPr>
            <w:tcW w:w="7513" w:type="dxa"/>
            <w:vAlign w:val="center"/>
          </w:tcPr>
          <w:p w14:paraId="482B4165" w14:textId="77777777" w:rsidR="007553D0" w:rsidRPr="007553D0" w:rsidRDefault="007553D0" w:rsidP="00361FD2">
            <w:pPr>
              <w:spacing w:before="40" w:after="40"/>
              <w:rPr>
                <w:lang w:val="en-US"/>
              </w:rPr>
            </w:pPr>
          </w:p>
          <w:p w14:paraId="33422C9B" w14:textId="77777777" w:rsidR="007553D0" w:rsidRPr="007553D0" w:rsidRDefault="007553D0" w:rsidP="00361FD2">
            <w:pPr>
              <w:spacing w:before="40" w:after="40"/>
              <w:rPr>
                <w:lang w:val="en-US"/>
              </w:rPr>
            </w:pPr>
          </w:p>
        </w:tc>
      </w:tr>
      <w:tr w:rsidR="007553D0" w:rsidRPr="007553D0" w14:paraId="7A13F91F" w14:textId="77777777" w:rsidTr="00361FD2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E238429" w14:textId="77777777" w:rsidR="007553D0" w:rsidRPr="007553D0" w:rsidRDefault="007553D0" w:rsidP="00361FD2">
            <w:pPr>
              <w:spacing w:after="120"/>
              <w:rPr>
                <w:b/>
                <w:lang w:val="en-US"/>
              </w:rPr>
            </w:pPr>
            <w:r w:rsidRPr="007553D0">
              <w:rPr>
                <w:b/>
                <w:lang w:val="en-US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036D230" w14:textId="77777777" w:rsidR="007553D0" w:rsidRPr="007553D0" w:rsidRDefault="007553D0" w:rsidP="00361FD2">
            <w:pPr>
              <w:spacing w:before="40" w:after="40"/>
              <w:rPr>
                <w:lang w:val="en-US"/>
              </w:rPr>
            </w:pPr>
          </w:p>
          <w:p w14:paraId="122A4133" w14:textId="77777777" w:rsidR="007553D0" w:rsidRPr="007553D0" w:rsidRDefault="007553D0" w:rsidP="00361FD2">
            <w:pPr>
              <w:spacing w:before="40" w:after="40"/>
              <w:rPr>
                <w:lang w:val="en-US"/>
              </w:rPr>
            </w:pPr>
          </w:p>
        </w:tc>
      </w:tr>
    </w:tbl>
    <w:p w14:paraId="6B4911EB" w14:textId="77777777" w:rsidR="007553D0" w:rsidRPr="007553D0" w:rsidRDefault="007553D0" w:rsidP="007553D0">
      <w:pPr>
        <w:pStyle w:val="Footer"/>
        <w:rPr>
          <w:szCs w:val="24"/>
          <w:lang w:val="en-US"/>
        </w:rPr>
      </w:pPr>
    </w:p>
    <w:p w14:paraId="6D4167B8" w14:textId="77777777" w:rsidR="007553D0" w:rsidRPr="007553D0" w:rsidRDefault="007553D0" w:rsidP="007553D0">
      <w:pPr>
        <w:pStyle w:val="Footer"/>
        <w:rPr>
          <w:szCs w:val="24"/>
          <w:lang w:val="en-US"/>
        </w:rPr>
      </w:pPr>
    </w:p>
    <w:p w14:paraId="0134E7B9" w14:textId="77777777" w:rsidR="007553D0" w:rsidRPr="007553D0" w:rsidRDefault="007553D0" w:rsidP="007553D0">
      <w:pPr>
        <w:pStyle w:val="Footer"/>
        <w:rPr>
          <w:sz w:val="20"/>
          <w:lang w:val="en-US"/>
        </w:rPr>
      </w:pPr>
      <w:r w:rsidRPr="007553D0">
        <w:rPr>
          <w:sz w:val="20"/>
          <w:lang w:val="en-US"/>
        </w:rPr>
        <w:t>NB Only tenders with average scores of at least 75 points qualify for the financial evaluation</w:t>
      </w:r>
    </w:p>
    <w:p w14:paraId="65AA4AA5" w14:textId="77777777" w:rsidR="007553D0" w:rsidRPr="007553D0" w:rsidRDefault="007553D0" w:rsidP="007553D0">
      <w:pPr>
        <w:rPr>
          <w:lang w:val="en-US"/>
        </w:rPr>
      </w:pPr>
    </w:p>
    <w:p w14:paraId="50FE7CC0" w14:textId="77777777" w:rsidR="007553D0" w:rsidRPr="007553D0" w:rsidRDefault="007553D0" w:rsidP="007553D0">
      <w:pPr>
        <w:rPr>
          <w:lang w:val="en-US"/>
        </w:rPr>
      </w:pPr>
    </w:p>
    <w:p w14:paraId="17941103" w14:textId="77777777" w:rsidR="007260DF" w:rsidRDefault="007260DF" w:rsidP="007260DF">
      <w:pPr>
        <w:pStyle w:val="Header"/>
        <w:shd w:val="clear" w:color="auto" w:fill="FFFF00"/>
        <w:spacing w:after="120"/>
        <w:ind w:right="-192"/>
        <w:jc w:val="both"/>
        <w:rPr>
          <w:i/>
        </w:rPr>
      </w:pPr>
      <w:proofErr w:type="spellStart"/>
      <w:r w:rsidRPr="00430315">
        <w:t>How</w:t>
      </w:r>
      <w:proofErr w:type="spellEnd"/>
      <w:r w:rsidRPr="00430315">
        <w:t xml:space="preserve"> </w:t>
      </w:r>
      <w:proofErr w:type="spellStart"/>
      <w:r w:rsidRPr="00430315">
        <w:t>to</w:t>
      </w:r>
      <w:proofErr w:type="spellEnd"/>
      <w:r w:rsidRPr="00430315">
        <w:t xml:space="preserve"> </w:t>
      </w:r>
      <w:proofErr w:type="spellStart"/>
      <w:r w:rsidRPr="00430315">
        <w:t>use</w:t>
      </w:r>
      <w:proofErr w:type="spellEnd"/>
      <w:r w:rsidRPr="00430315">
        <w:t xml:space="preserve"> </w:t>
      </w:r>
      <w:proofErr w:type="spellStart"/>
      <w:r w:rsidRPr="00430315">
        <w:t>this</w:t>
      </w:r>
      <w:proofErr w:type="spellEnd"/>
      <w:r w:rsidRPr="00430315">
        <w:t xml:space="preserve"> </w:t>
      </w:r>
      <w:proofErr w:type="spellStart"/>
      <w:r w:rsidRPr="00430315">
        <w:t>evaluation</w:t>
      </w:r>
      <w:proofErr w:type="spellEnd"/>
      <w:r w:rsidRPr="00430315">
        <w:t xml:space="preserve"> </w:t>
      </w:r>
      <w:proofErr w:type="spellStart"/>
      <w:r w:rsidRPr="00430315">
        <w:t>grid</w:t>
      </w:r>
      <w:proofErr w:type="spellEnd"/>
      <w:r w:rsidRPr="00430315">
        <w:t>:</w:t>
      </w:r>
      <w:r w:rsidRPr="00430315">
        <w:rPr>
          <w:i/>
        </w:rPr>
        <w:t xml:space="preserve"> </w:t>
      </w:r>
    </w:p>
    <w:p w14:paraId="265D6D58" w14:textId="77777777" w:rsidR="007260DF" w:rsidRDefault="007260DF" w:rsidP="007260DF">
      <w:pPr>
        <w:pStyle w:val="Header"/>
        <w:numPr>
          <w:ilvl w:val="0"/>
          <w:numId w:val="17"/>
        </w:numPr>
        <w:shd w:val="clear" w:color="auto" w:fill="FFFF00"/>
        <w:tabs>
          <w:tab w:val="clear" w:pos="4513"/>
          <w:tab w:val="clear" w:pos="9026"/>
          <w:tab w:val="right" w:pos="709"/>
        </w:tabs>
        <w:spacing w:before="0" w:after="120"/>
        <w:ind w:right="-192"/>
        <w:jc w:val="both"/>
      </w:pPr>
      <w:r w:rsidRPr="00430315">
        <w:t xml:space="preserve">The </w:t>
      </w:r>
      <w:proofErr w:type="spellStart"/>
      <w:r w:rsidRPr="00430315">
        <w:t>categories</w:t>
      </w:r>
      <w:proofErr w:type="spellEnd"/>
      <w:r w:rsidRPr="00430315">
        <w:t xml:space="preserve"> </w:t>
      </w:r>
      <w:proofErr w:type="spellStart"/>
      <w:r w:rsidRPr="00430315">
        <w:t>to</w:t>
      </w:r>
      <w:proofErr w:type="spellEnd"/>
      <w:r w:rsidRPr="00430315">
        <w:t xml:space="preserve"> </w:t>
      </w:r>
      <w:proofErr w:type="spellStart"/>
      <w:r w:rsidRPr="00430315">
        <w:t>be</w:t>
      </w:r>
      <w:proofErr w:type="spellEnd"/>
      <w:r w:rsidRPr="00430315">
        <w:t xml:space="preserve"> </w:t>
      </w:r>
      <w:proofErr w:type="spellStart"/>
      <w:r w:rsidRPr="00430315">
        <w:t>used</w:t>
      </w:r>
      <w:proofErr w:type="spellEnd"/>
      <w:r w:rsidRPr="00430315">
        <w:t xml:space="preserve"> </w:t>
      </w:r>
      <w:proofErr w:type="spellStart"/>
      <w:r w:rsidRPr="00430315">
        <w:t>to</w:t>
      </w:r>
      <w:proofErr w:type="spellEnd"/>
      <w:r w:rsidRPr="00430315">
        <w:t xml:space="preserve"> </w:t>
      </w:r>
      <w:proofErr w:type="spellStart"/>
      <w:r w:rsidRPr="00430315">
        <w:t>assess</w:t>
      </w:r>
      <w:proofErr w:type="spellEnd"/>
      <w:r w:rsidRPr="00430315">
        <w:t xml:space="preserve"> </w:t>
      </w:r>
      <w:proofErr w:type="spellStart"/>
      <w:r w:rsidRPr="00430315">
        <w:t>the</w:t>
      </w:r>
      <w:proofErr w:type="spellEnd"/>
      <w:r w:rsidRPr="00430315">
        <w:t xml:space="preserve"> </w:t>
      </w:r>
      <w:proofErr w:type="spellStart"/>
      <w:r w:rsidRPr="00430315">
        <w:t>Organisation</w:t>
      </w:r>
      <w:proofErr w:type="spellEnd"/>
      <w:r w:rsidRPr="00430315">
        <w:t xml:space="preserve"> </w:t>
      </w:r>
      <w:proofErr w:type="spellStart"/>
      <w:r w:rsidRPr="00430315">
        <w:t>and</w:t>
      </w:r>
      <w:proofErr w:type="spellEnd"/>
      <w:r w:rsidRPr="00430315">
        <w:t xml:space="preserve"> </w:t>
      </w:r>
      <w:proofErr w:type="spellStart"/>
      <w:r w:rsidRPr="00430315">
        <w:t>Methodology</w:t>
      </w:r>
      <w:proofErr w:type="spellEnd"/>
      <w:r w:rsidRPr="00430315">
        <w:t xml:space="preserve"> (ie, </w:t>
      </w:r>
      <w:proofErr w:type="spellStart"/>
      <w:r w:rsidRPr="00430315">
        <w:t>Rationale</w:t>
      </w:r>
      <w:proofErr w:type="spellEnd"/>
      <w:r w:rsidRPr="00430315">
        <w:t xml:space="preserve">, </w:t>
      </w:r>
      <w:proofErr w:type="spellStart"/>
      <w:r w:rsidRPr="00430315">
        <w:t>Strategy</w:t>
      </w:r>
      <w:proofErr w:type="spellEnd"/>
      <w:r>
        <w:t>, Back-</w:t>
      </w:r>
      <w:proofErr w:type="spellStart"/>
      <w:r>
        <w:t>up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, </w:t>
      </w:r>
      <w:proofErr w:type="spellStart"/>
      <w:r>
        <w:t>Involvement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consortium</w:t>
      </w:r>
      <w:proofErr w:type="spellEnd"/>
      <w:r>
        <w:t xml:space="preserve"> </w:t>
      </w:r>
      <w:proofErr w:type="spellStart"/>
      <w:r>
        <w:t>members</w:t>
      </w:r>
      <w:proofErr w:type="spellEnd"/>
      <w:r w:rsidRPr="00430315">
        <w:t xml:space="preserve"> </w:t>
      </w:r>
      <w:proofErr w:type="spellStart"/>
      <w:r w:rsidRPr="00430315">
        <w:t>and</w:t>
      </w:r>
      <w:proofErr w:type="spellEnd"/>
      <w:r w:rsidRPr="00430315">
        <w:t xml:space="preserve"> </w:t>
      </w:r>
      <w:proofErr w:type="spellStart"/>
      <w:r w:rsidRPr="00430315">
        <w:t>Timetable</w:t>
      </w:r>
      <w:proofErr w:type="spellEnd"/>
      <w:r w:rsidRPr="00430315">
        <w:t xml:space="preserve"> of </w:t>
      </w:r>
      <w:proofErr w:type="spellStart"/>
      <w:r w:rsidRPr="00430315">
        <w:t>activities</w:t>
      </w:r>
      <w:proofErr w:type="spellEnd"/>
      <w:r w:rsidRPr="00430315">
        <w:t xml:space="preserve">) </w:t>
      </w:r>
      <w:proofErr w:type="spellStart"/>
      <w:r w:rsidRPr="00430315">
        <w:t>may</w:t>
      </w:r>
      <w:proofErr w:type="spellEnd"/>
      <w:r w:rsidRPr="00430315">
        <w:t xml:space="preserve"> </w:t>
      </w:r>
      <w:proofErr w:type="spellStart"/>
      <w:r w:rsidRPr="00A345FD">
        <w:rPr>
          <w:b/>
        </w:rPr>
        <w:t>not</w:t>
      </w:r>
      <w:proofErr w:type="spellEnd"/>
      <w:r>
        <w:t xml:space="preserve"> </w:t>
      </w:r>
      <w:proofErr w:type="spellStart"/>
      <w:r w:rsidRPr="00430315">
        <w:t>be</w:t>
      </w:r>
      <w:proofErr w:type="spellEnd"/>
      <w:r w:rsidRPr="00430315">
        <w:t xml:space="preserve"> </w:t>
      </w:r>
      <w:proofErr w:type="spellStart"/>
      <w:r w:rsidRPr="00430315">
        <w:t>modified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profiles</w:t>
      </w:r>
      <w:proofErr w:type="spellEnd"/>
      <w:r>
        <w:t xml:space="preserve"> of </w:t>
      </w:r>
      <w:proofErr w:type="spellStart"/>
      <w:r>
        <w:t>key</w:t>
      </w:r>
      <w:proofErr w:type="spellEnd"/>
      <w:r>
        <w:t xml:space="preserve"> </w:t>
      </w:r>
      <w:proofErr w:type="spellStart"/>
      <w:r>
        <w:t>experts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requested</w:t>
      </w:r>
      <w:proofErr w:type="spellEnd"/>
      <w:r w:rsidRPr="00430315">
        <w:t>.</w:t>
      </w:r>
      <w:r w:rsidRPr="0053409D">
        <w:t xml:space="preserve"> </w:t>
      </w:r>
      <w:r>
        <w:t>T</w:t>
      </w:r>
      <w:r w:rsidRPr="0053409D">
        <w:t xml:space="preserve">he </w:t>
      </w:r>
      <w:proofErr w:type="spellStart"/>
      <w:r w:rsidRPr="0053409D">
        <w:t>assessment</w:t>
      </w:r>
      <w:proofErr w:type="spellEnd"/>
      <w:r>
        <w:t xml:space="preserve"> of </w:t>
      </w:r>
      <w:proofErr w:type="spellStart"/>
      <w:r>
        <w:t>key</w:t>
      </w:r>
      <w:proofErr w:type="spellEnd"/>
      <w:r>
        <w:t xml:space="preserve"> </w:t>
      </w:r>
      <w:proofErr w:type="spellStart"/>
      <w:r>
        <w:t>experts</w:t>
      </w:r>
      <w:proofErr w:type="spellEnd"/>
      <w:r>
        <w:t xml:space="preserve">' </w:t>
      </w:r>
      <w:proofErr w:type="spellStart"/>
      <w:r>
        <w:t>profiles</w:t>
      </w:r>
      <w:proofErr w:type="spellEnd"/>
      <w:r w:rsidRPr="0053409D">
        <w:t xml:space="preserve"> </w:t>
      </w:r>
      <w:proofErr w:type="spellStart"/>
      <w:r w:rsidRPr="0053409D">
        <w:t>is</w:t>
      </w:r>
      <w:proofErr w:type="spellEnd"/>
      <w:r w:rsidRPr="0053409D">
        <w:t xml:space="preserve"> part of </w:t>
      </w:r>
      <w:proofErr w:type="spellStart"/>
      <w:r w:rsidRPr="0053409D">
        <w:t>the</w:t>
      </w:r>
      <w:proofErr w:type="spellEnd"/>
      <w:r w:rsidRPr="0053409D">
        <w:t xml:space="preserve"> </w:t>
      </w:r>
      <w:proofErr w:type="spellStart"/>
      <w:r>
        <w:t>S</w:t>
      </w:r>
      <w:r w:rsidRPr="0053409D">
        <w:t>trategy</w:t>
      </w:r>
      <w:proofErr w:type="spellEnd"/>
      <w:r>
        <w:t>.</w:t>
      </w:r>
    </w:p>
    <w:p w14:paraId="693886DB" w14:textId="77777777" w:rsidR="007260DF" w:rsidRDefault="007260DF" w:rsidP="007260DF">
      <w:pPr>
        <w:pStyle w:val="Header"/>
        <w:numPr>
          <w:ilvl w:val="0"/>
          <w:numId w:val="17"/>
        </w:numPr>
        <w:shd w:val="clear" w:color="auto" w:fill="FFFF00"/>
        <w:tabs>
          <w:tab w:val="clear" w:pos="4513"/>
          <w:tab w:val="clear" w:pos="9026"/>
          <w:tab w:val="right" w:pos="709"/>
        </w:tabs>
        <w:spacing w:before="0" w:after="120"/>
        <w:ind w:right="-192"/>
        <w:jc w:val="both"/>
      </w:pPr>
      <w:r>
        <w:t xml:space="preserve">The </w:t>
      </w:r>
      <w:proofErr w:type="spellStart"/>
      <w:r>
        <w:t>points</w:t>
      </w:r>
      <w:proofErr w:type="spellEnd"/>
      <w:r>
        <w:t xml:space="preserve"> </w:t>
      </w:r>
      <w:proofErr w:type="spellStart"/>
      <w:r>
        <w:t>allowed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"</w:t>
      </w:r>
      <w:r w:rsidRPr="00CC72B7">
        <w:t xml:space="preserve"> </w:t>
      </w:r>
      <w:r>
        <w:t>Back-</w:t>
      </w:r>
      <w:proofErr w:type="spellStart"/>
      <w:r>
        <w:t>up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>”,   “</w:t>
      </w:r>
      <w:proofErr w:type="spellStart"/>
      <w:r>
        <w:t>Involvement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consortium</w:t>
      </w:r>
      <w:proofErr w:type="spellEnd"/>
      <w:r>
        <w:t xml:space="preserve">" </w:t>
      </w:r>
      <w:proofErr w:type="spellStart"/>
      <w:r>
        <w:t>and</w:t>
      </w:r>
      <w:proofErr w:type="spellEnd"/>
      <w:r>
        <w:t xml:space="preserve"> "</w:t>
      </w:r>
      <w:proofErr w:type="spellStart"/>
      <w:r w:rsidRPr="00430315">
        <w:t>Timetable</w:t>
      </w:r>
      <w:proofErr w:type="spellEnd"/>
      <w:r w:rsidRPr="00430315">
        <w:t xml:space="preserve"> of </w:t>
      </w:r>
      <w:proofErr w:type="spellStart"/>
      <w:r w:rsidRPr="00430315">
        <w:t>activities</w:t>
      </w:r>
      <w:proofErr w:type="spellEnd"/>
      <w:r>
        <w:t xml:space="preserve">"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distributed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"</w:t>
      </w:r>
      <w:proofErr w:type="spellStart"/>
      <w:r>
        <w:t>Rationale</w:t>
      </w:r>
      <w:proofErr w:type="spellEnd"/>
      <w:r>
        <w:t xml:space="preserve">" </w:t>
      </w:r>
      <w:proofErr w:type="spellStart"/>
      <w:r>
        <w:t>and</w:t>
      </w:r>
      <w:proofErr w:type="spellEnd"/>
      <w:r>
        <w:t xml:space="preserve"> "</w:t>
      </w:r>
      <w:proofErr w:type="spellStart"/>
      <w:r>
        <w:t>Strategy</w:t>
      </w:r>
      <w:proofErr w:type="spellEnd"/>
      <w:r>
        <w:t xml:space="preserve">" </w:t>
      </w:r>
      <w:proofErr w:type="spellStart"/>
      <w:r>
        <w:t>if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.</w:t>
      </w:r>
    </w:p>
    <w:p w14:paraId="389A811C" w14:textId="77777777" w:rsidR="007260DF" w:rsidRPr="00430315" w:rsidRDefault="007260DF" w:rsidP="007260DF">
      <w:pPr>
        <w:pStyle w:val="Header"/>
        <w:numPr>
          <w:ilvl w:val="0"/>
          <w:numId w:val="17"/>
        </w:numPr>
        <w:shd w:val="clear" w:color="auto" w:fill="FFFF00"/>
        <w:tabs>
          <w:tab w:val="clear" w:pos="4513"/>
          <w:tab w:val="clear" w:pos="9026"/>
          <w:tab w:val="right" w:pos="709"/>
        </w:tabs>
        <w:spacing w:before="0" w:after="120"/>
        <w:ind w:right="-192"/>
        <w:jc w:val="both"/>
      </w:pPr>
      <w:r>
        <w:t xml:space="preserve">The </w:t>
      </w:r>
      <w:proofErr w:type="spellStart"/>
      <w:r>
        <w:t>strengths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weaknesses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grid</w:t>
      </w:r>
      <w:proofErr w:type="spellEnd"/>
      <w:r>
        <w:t xml:space="preserve"> must reflect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commonly</w:t>
      </w:r>
      <w:proofErr w:type="spellEnd"/>
      <w:r>
        <w:t xml:space="preserve"> </w:t>
      </w:r>
      <w:proofErr w:type="spellStart"/>
      <w:r>
        <w:t>agreed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Committee</w:t>
      </w:r>
      <w:proofErr w:type="spellEnd"/>
      <w:r>
        <w:t xml:space="preserve"> </w:t>
      </w:r>
      <w:proofErr w:type="spellStart"/>
      <w:r>
        <w:t>amongst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pointed</w:t>
      </w:r>
      <w:proofErr w:type="spellEnd"/>
      <w:r>
        <w:t xml:space="preserve"> out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evaluators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individual </w:t>
      </w:r>
      <w:proofErr w:type="spellStart"/>
      <w:r>
        <w:t>grids</w:t>
      </w:r>
      <w:proofErr w:type="spellEnd"/>
      <w:r>
        <w:t xml:space="preserve">.  </w:t>
      </w:r>
    </w:p>
    <w:p w14:paraId="1A57EB30" w14:textId="77777777" w:rsidR="007260DF" w:rsidRPr="00430315" w:rsidRDefault="007260DF" w:rsidP="007260DF">
      <w:pPr>
        <w:pStyle w:val="Header"/>
        <w:numPr>
          <w:ilvl w:val="0"/>
          <w:numId w:val="17"/>
        </w:numPr>
        <w:shd w:val="clear" w:color="auto" w:fill="FFFF00"/>
        <w:tabs>
          <w:tab w:val="clear" w:pos="4513"/>
          <w:tab w:val="clear" w:pos="9026"/>
          <w:tab w:val="right" w:pos="709"/>
        </w:tabs>
        <w:spacing w:before="0" w:after="120"/>
        <w:ind w:right="-192"/>
        <w:jc w:val="both"/>
      </w:pPr>
      <w:r w:rsidRPr="00430315">
        <w:t xml:space="preserve">The </w:t>
      </w:r>
      <w:proofErr w:type="spellStart"/>
      <w:r w:rsidRPr="00430315">
        <w:t>Evaluation</w:t>
      </w:r>
      <w:proofErr w:type="spellEnd"/>
      <w:r w:rsidRPr="00430315">
        <w:t xml:space="preserve"> </w:t>
      </w:r>
      <w:proofErr w:type="spellStart"/>
      <w:r w:rsidRPr="00430315">
        <w:t>Committee</w:t>
      </w:r>
      <w:proofErr w:type="spellEnd"/>
      <w:r w:rsidRPr="00430315">
        <w:t xml:space="preserve"> must evaluate </w:t>
      </w:r>
      <w:proofErr w:type="spellStart"/>
      <w:r w:rsidRPr="00430315">
        <w:t>tenders</w:t>
      </w:r>
      <w:proofErr w:type="spellEnd"/>
      <w:r w:rsidRPr="00430315">
        <w:t xml:space="preserve"> on </w:t>
      </w:r>
      <w:proofErr w:type="spellStart"/>
      <w:r w:rsidRPr="00430315">
        <w:t>the</w:t>
      </w:r>
      <w:proofErr w:type="spellEnd"/>
      <w:r w:rsidRPr="00430315">
        <w:t xml:space="preserve"> </w:t>
      </w:r>
      <w:proofErr w:type="spellStart"/>
      <w:r w:rsidRPr="00430315">
        <w:t>basis</w:t>
      </w:r>
      <w:proofErr w:type="spellEnd"/>
      <w:r w:rsidRPr="00430315">
        <w:t xml:space="preserve"> of </w:t>
      </w:r>
      <w:proofErr w:type="spellStart"/>
      <w:r w:rsidRPr="00430315">
        <w:t>this</w:t>
      </w:r>
      <w:proofErr w:type="spellEnd"/>
      <w:r w:rsidRPr="00430315">
        <w:t xml:space="preserve">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grid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includes</w:t>
      </w:r>
      <w:proofErr w:type="spellEnd"/>
      <w:r w:rsidRPr="00430315">
        <w:t xml:space="preserve"> maximum </w:t>
      </w:r>
      <w:proofErr w:type="spellStart"/>
      <w:r w:rsidRPr="00430315">
        <w:t>scores</w:t>
      </w:r>
      <w:proofErr w:type="spellEnd"/>
      <w:r>
        <w:t xml:space="preserve">. </w:t>
      </w:r>
      <w:proofErr w:type="spellStart"/>
      <w:r>
        <w:t>Those</w:t>
      </w:r>
      <w:proofErr w:type="spellEnd"/>
      <w:r>
        <w:t xml:space="preserve"> maximum </w:t>
      </w:r>
      <w:proofErr w:type="spellStart"/>
      <w:r>
        <w:t>scores</w:t>
      </w:r>
      <w:proofErr w:type="spellEnd"/>
      <w:r>
        <w:t xml:space="preserve"> </w:t>
      </w:r>
      <w:proofErr w:type="spellStart"/>
      <w:r w:rsidRPr="00430315">
        <w:t>cannot</w:t>
      </w:r>
      <w:proofErr w:type="spellEnd"/>
      <w:r w:rsidRPr="00430315">
        <w:t xml:space="preserve"> </w:t>
      </w:r>
      <w:proofErr w:type="spellStart"/>
      <w:r w:rsidRPr="00430315">
        <w:t>be</w:t>
      </w:r>
      <w:proofErr w:type="spellEnd"/>
      <w:r w:rsidRPr="00430315">
        <w:t xml:space="preserve"> </w:t>
      </w:r>
      <w:proofErr w:type="spellStart"/>
      <w:r w:rsidRPr="00430315">
        <w:t>modified</w:t>
      </w:r>
      <w:proofErr w:type="spellEnd"/>
      <w:r w:rsidRPr="00430315">
        <w:t xml:space="preserve"> </w:t>
      </w:r>
      <w:proofErr w:type="spellStart"/>
      <w:r w:rsidRPr="00430315">
        <w:t>after</w:t>
      </w:r>
      <w:proofErr w:type="spellEnd"/>
      <w:r w:rsidRPr="00430315">
        <w:t xml:space="preserve"> </w:t>
      </w:r>
      <w:proofErr w:type="spellStart"/>
      <w:r w:rsidRPr="00430315">
        <w:t>the</w:t>
      </w:r>
      <w:proofErr w:type="spellEnd"/>
      <w:r w:rsidRPr="00430315">
        <w:t xml:space="preserve"> </w:t>
      </w:r>
      <w:proofErr w:type="spellStart"/>
      <w:r w:rsidRPr="00430315">
        <w:t>deadline</w:t>
      </w:r>
      <w:proofErr w:type="spellEnd"/>
      <w:r w:rsidRPr="00430315">
        <w:t xml:space="preserve"> for </w:t>
      </w:r>
      <w:proofErr w:type="spellStart"/>
      <w:r w:rsidRPr="00430315">
        <w:t>informing</w:t>
      </w:r>
      <w:proofErr w:type="spellEnd"/>
      <w:r w:rsidRPr="00430315">
        <w:t xml:space="preserve"> </w:t>
      </w:r>
      <w:proofErr w:type="spellStart"/>
      <w:r w:rsidRPr="00430315">
        <w:t>potential</w:t>
      </w:r>
      <w:proofErr w:type="spellEnd"/>
      <w:r w:rsidRPr="00430315">
        <w:t xml:space="preserve"> </w:t>
      </w:r>
      <w:proofErr w:type="spellStart"/>
      <w:r w:rsidRPr="00430315">
        <w:t>tenderers</w:t>
      </w:r>
      <w:proofErr w:type="spellEnd"/>
      <w:r w:rsidRPr="00430315">
        <w:t xml:space="preserve"> of </w:t>
      </w:r>
      <w:proofErr w:type="spellStart"/>
      <w:r w:rsidRPr="00430315">
        <w:t>any</w:t>
      </w:r>
      <w:proofErr w:type="spellEnd"/>
      <w:r w:rsidRPr="00430315">
        <w:t xml:space="preserve"> </w:t>
      </w:r>
      <w:proofErr w:type="spellStart"/>
      <w:r w:rsidRPr="00430315">
        <w:t>clarifications</w:t>
      </w:r>
      <w:proofErr w:type="spellEnd"/>
      <w:r w:rsidRPr="00430315">
        <w:t>.</w:t>
      </w:r>
    </w:p>
    <w:p w14:paraId="39E64603" w14:textId="77777777" w:rsidR="007260DF" w:rsidRPr="00AC7C21" w:rsidRDefault="007260DF" w:rsidP="007260DF">
      <w:pPr>
        <w:pStyle w:val="Header"/>
        <w:numPr>
          <w:ilvl w:val="0"/>
          <w:numId w:val="17"/>
        </w:numPr>
        <w:shd w:val="clear" w:color="auto" w:fill="FFFF00"/>
        <w:tabs>
          <w:tab w:val="clear" w:pos="4513"/>
          <w:tab w:val="clear" w:pos="9026"/>
          <w:tab w:val="right" w:pos="709"/>
        </w:tabs>
        <w:spacing w:before="0" w:after="120"/>
        <w:ind w:right="-192"/>
        <w:jc w:val="both"/>
      </w:pPr>
      <w:proofErr w:type="spellStart"/>
      <w:r w:rsidRPr="00430315">
        <w:rPr>
          <w:b/>
        </w:rPr>
        <w:t>Please</w:t>
      </w:r>
      <w:proofErr w:type="spellEnd"/>
      <w:r w:rsidRPr="00430315">
        <w:rPr>
          <w:b/>
        </w:rPr>
        <w:t xml:space="preserve"> </w:t>
      </w:r>
      <w:proofErr w:type="spellStart"/>
      <w:r w:rsidRPr="00430315">
        <w:rPr>
          <w:b/>
        </w:rPr>
        <w:t>delete</w:t>
      </w:r>
      <w:proofErr w:type="spellEnd"/>
      <w:r w:rsidRPr="00430315">
        <w:rPr>
          <w:b/>
        </w:rPr>
        <w:t xml:space="preserve"> </w:t>
      </w:r>
      <w:proofErr w:type="spellStart"/>
      <w:r w:rsidRPr="00430315">
        <w:rPr>
          <w:b/>
        </w:rPr>
        <w:t>the</w:t>
      </w:r>
      <w:proofErr w:type="spellEnd"/>
      <w:r w:rsidRPr="00430315">
        <w:rPr>
          <w:b/>
        </w:rPr>
        <w:t xml:space="preserve"> </w:t>
      </w:r>
      <w:proofErr w:type="spellStart"/>
      <w:r w:rsidRPr="00430315">
        <w:rPr>
          <w:b/>
        </w:rPr>
        <w:t>highlighted</w:t>
      </w:r>
      <w:proofErr w:type="spellEnd"/>
      <w:r w:rsidRPr="00430315">
        <w:rPr>
          <w:b/>
        </w:rPr>
        <w:t xml:space="preserve"> text.</w:t>
      </w:r>
    </w:p>
    <w:p w14:paraId="4E04AAC4" w14:textId="77777777" w:rsidR="007553D0" w:rsidRPr="007553D0" w:rsidRDefault="007553D0" w:rsidP="007553D0">
      <w:pPr>
        <w:rPr>
          <w:lang w:val="en-US"/>
        </w:rPr>
      </w:pPr>
      <w:bookmarkStart w:id="0" w:name="_GoBack"/>
      <w:bookmarkEnd w:id="0"/>
    </w:p>
    <w:p w14:paraId="292313A1" w14:textId="77777777" w:rsidR="00891BA1" w:rsidRPr="007553D0" w:rsidRDefault="00891BA1" w:rsidP="007553D0">
      <w:pPr>
        <w:rPr>
          <w:lang w:val="en-US"/>
        </w:rPr>
      </w:pPr>
    </w:p>
    <w:sectPr w:rsidR="00891BA1" w:rsidRPr="007553D0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601E0" w14:textId="77777777" w:rsidR="007F3DAB" w:rsidRDefault="007F3DAB" w:rsidP="00DC521C">
      <w:r>
        <w:separator/>
      </w:r>
    </w:p>
  </w:endnote>
  <w:endnote w:type="continuationSeparator" w:id="0">
    <w:p w14:paraId="6419945C" w14:textId="77777777" w:rsidR="007F3DAB" w:rsidRDefault="007F3DAB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2029959F">
                    <wp:simplePos x="0" y="0"/>
                    <wp:positionH relativeFrom="column">
                      <wp:posOffset>3601721</wp:posOffset>
                    </wp:positionH>
                    <wp:positionV relativeFrom="paragraph">
                      <wp:posOffset>192405</wp:posOffset>
                    </wp:positionV>
                    <wp:extent cx="1220470" cy="1828800"/>
                    <wp:effectExtent l="0" t="0" r="0" b="444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2047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8E60CB">
                                  <w:rPr>
                                    <w:noProof/>
                                  </w:rPr>
                                  <w:t>1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7F3DAB">
                                  <w:fldChar w:fldCharType="begin"/>
                                </w:r>
                                <w:r w:rsidR="007F3DAB">
                                  <w:instrText xml:space="preserve"> NUMPAGES  \* Arabic  \* MERGEFORMAT </w:instrText>
                                </w:r>
                                <w:r w:rsidR="007F3DAB">
                                  <w:fldChar w:fldCharType="separate"/>
                                </w:r>
                                <w:r w:rsidR="008E60CB">
                                  <w:rPr>
                                    <w:noProof/>
                                  </w:rPr>
                                  <w:t>1</w:t>
                                </w:r>
                                <w:r w:rsidR="007F3DAB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283.6pt;margin-top:15.15pt;width:96.1pt;height:2in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8E60CB">
                            <w:rPr>
                              <w:noProof/>
                            </w:rPr>
                            <w:t>1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7F3DAB">
                            <w:fldChar w:fldCharType="begin"/>
                          </w:r>
                          <w:r w:rsidR="007F3DAB">
                            <w:instrText xml:space="preserve"> NUMPAGES  \* Arabic  \* MERGEFORMAT </w:instrText>
                          </w:r>
                          <w:r w:rsidR="007F3DAB">
                            <w:fldChar w:fldCharType="separate"/>
                          </w:r>
                          <w:r w:rsidR="008E60CB">
                            <w:rPr>
                              <w:noProof/>
                            </w:rPr>
                            <w:t>1</w:t>
                          </w:r>
                          <w:r w:rsidR="007F3DA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8CB40" w14:textId="77777777" w:rsidR="007F3DAB" w:rsidRDefault="007F3DAB" w:rsidP="00DC521C">
      <w:r>
        <w:separator/>
      </w:r>
    </w:p>
  </w:footnote>
  <w:footnote w:type="continuationSeparator" w:id="0">
    <w:p w14:paraId="2D7E470E" w14:textId="77777777" w:rsidR="007F3DAB" w:rsidRDefault="007F3DAB" w:rsidP="00DC5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86FAE"/>
    <w:multiLevelType w:val="hybridMultilevel"/>
    <w:tmpl w:val="BFFE0656"/>
    <w:lvl w:ilvl="0" w:tplc="AB94FA30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9B215B"/>
    <w:multiLevelType w:val="hybridMultilevel"/>
    <w:tmpl w:val="2E2001FA"/>
    <w:lvl w:ilvl="0" w:tplc="1D8CFDDA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7B7E41"/>
    <w:multiLevelType w:val="hybridMultilevel"/>
    <w:tmpl w:val="BD747D94"/>
    <w:lvl w:ilvl="0" w:tplc="E6DC06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9"/>
  </w:num>
  <w:num w:numId="5">
    <w:abstractNumId w:val="13"/>
  </w:num>
  <w:num w:numId="6">
    <w:abstractNumId w:val="0"/>
  </w:num>
  <w:num w:numId="7">
    <w:abstractNumId w:val="8"/>
  </w:num>
  <w:num w:numId="8">
    <w:abstractNumId w:val="12"/>
  </w:num>
  <w:num w:numId="9">
    <w:abstractNumId w:val="16"/>
  </w:num>
  <w:num w:numId="10">
    <w:abstractNumId w:val="15"/>
  </w:num>
  <w:num w:numId="11">
    <w:abstractNumId w:val="7"/>
  </w:num>
  <w:num w:numId="12">
    <w:abstractNumId w:val="5"/>
  </w:num>
  <w:num w:numId="13">
    <w:abstractNumId w:val="1"/>
  </w:num>
  <w:num w:numId="14">
    <w:abstractNumId w:val="2"/>
  </w:num>
  <w:num w:numId="15">
    <w:abstractNumId w:val="1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oFAJU9Kc0tAAAA"/>
  </w:docVars>
  <w:rsids>
    <w:rsidRoot w:val="00BF6929"/>
    <w:rsid w:val="000124BC"/>
    <w:rsid w:val="00015E52"/>
    <w:rsid w:val="00020E8A"/>
    <w:rsid w:val="00026FE0"/>
    <w:rsid w:val="00095BB2"/>
    <w:rsid w:val="000A1181"/>
    <w:rsid w:val="000A180B"/>
    <w:rsid w:val="000C123F"/>
    <w:rsid w:val="000C130F"/>
    <w:rsid w:val="000C2064"/>
    <w:rsid w:val="000C5E60"/>
    <w:rsid w:val="000C69E3"/>
    <w:rsid w:val="000D6DC6"/>
    <w:rsid w:val="000E7FB1"/>
    <w:rsid w:val="001029DE"/>
    <w:rsid w:val="00111D33"/>
    <w:rsid w:val="0013194E"/>
    <w:rsid w:val="00131CA0"/>
    <w:rsid w:val="00140152"/>
    <w:rsid w:val="001514C0"/>
    <w:rsid w:val="00152361"/>
    <w:rsid w:val="001610D0"/>
    <w:rsid w:val="00161528"/>
    <w:rsid w:val="00161C30"/>
    <w:rsid w:val="00164578"/>
    <w:rsid w:val="00185FCD"/>
    <w:rsid w:val="001A3500"/>
    <w:rsid w:val="001A4AEA"/>
    <w:rsid w:val="001C04A5"/>
    <w:rsid w:val="001D2A0F"/>
    <w:rsid w:val="001D734F"/>
    <w:rsid w:val="001F2AFE"/>
    <w:rsid w:val="002035F7"/>
    <w:rsid w:val="00234DED"/>
    <w:rsid w:val="00240573"/>
    <w:rsid w:val="00241600"/>
    <w:rsid w:val="00262C5C"/>
    <w:rsid w:val="002733D3"/>
    <w:rsid w:val="00294604"/>
    <w:rsid w:val="002A1523"/>
    <w:rsid w:val="002B7BAD"/>
    <w:rsid w:val="002F12C9"/>
    <w:rsid w:val="002F2451"/>
    <w:rsid w:val="00315BE3"/>
    <w:rsid w:val="00334FE2"/>
    <w:rsid w:val="00345E66"/>
    <w:rsid w:val="003533FF"/>
    <w:rsid w:val="003812E1"/>
    <w:rsid w:val="00384C3C"/>
    <w:rsid w:val="003A2772"/>
    <w:rsid w:val="003A6F08"/>
    <w:rsid w:val="003B55E9"/>
    <w:rsid w:val="003D29D5"/>
    <w:rsid w:val="003D5525"/>
    <w:rsid w:val="003E4ABF"/>
    <w:rsid w:val="003F1C63"/>
    <w:rsid w:val="00401E15"/>
    <w:rsid w:val="00410369"/>
    <w:rsid w:val="00433095"/>
    <w:rsid w:val="00437894"/>
    <w:rsid w:val="004832B3"/>
    <w:rsid w:val="0048751C"/>
    <w:rsid w:val="004A5465"/>
    <w:rsid w:val="004D1977"/>
    <w:rsid w:val="004D1D7C"/>
    <w:rsid w:val="004D3791"/>
    <w:rsid w:val="004E08DA"/>
    <w:rsid w:val="004F708A"/>
    <w:rsid w:val="00504750"/>
    <w:rsid w:val="005065BF"/>
    <w:rsid w:val="00535BF2"/>
    <w:rsid w:val="00552E77"/>
    <w:rsid w:val="00553517"/>
    <w:rsid w:val="00561045"/>
    <w:rsid w:val="005A18A0"/>
    <w:rsid w:val="005A7B14"/>
    <w:rsid w:val="005B1787"/>
    <w:rsid w:val="005B3180"/>
    <w:rsid w:val="005B6F4C"/>
    <w:rsid w:val="005C3271"/>
    <w:rsid w:val="005D1FDE"/>
    <w:rsid w:val="005D4BA9"/>
    <w:rsid w:val="005E2FBD"/>
    <w:rsid w:val="005F15C7"/>
    <w:rsid w:val="005F2A6A"/>
    <w:rsid w:val="00603844"/>
    <w:rsid w:val="006130DF"/>
    <w:rsid w:val="0061538E"/>
    <w:rsid w:val="0062563A"/>
    <w:rsid w:val="00627DEB"/>
    <w:rsid w:val="006666F2"/>
    <w:rsid w:val="006A5FFE"/>
    <w:rsid w:val="006B0887"/>
    <w:rsid w:val="006B1ED6"/>
    <w:rsid w:val="006D0B29"/>
    <w:rsid w:val="006D5E06"/>
    <w:rsid w:val="006F41D1"/>
    <w:rsid w:val="00706118"/>
    <w:rsid w:val="00716F92"/>
    <w:rsid w:val="0072154B"/>
    <w:rsid w:val="007260DF"/>
    <w:rsid w:val="00732847"/>
    <w:rsid w:val="0073503E"/>
    <w:rsid w:val="00745FC5"/>
    <w:rsid w:val="007553D0"/>
    <w:rsid w:val="007664A7"/>
    <w:rsid w:val="00771639"/>
    <w:rsid w:val="00781EF0"/>
    <w:rsid w:val="0078795B"/>
    <w:rsid w:val="007955DD"/>
    <w:rsid w:val="007A2E6A"/>
    <w:rsid w:val="007A56CD"/>
    <w:rsid w:val="007A7452"/>
    <w:rsid w:val="007C13C8"/>
    <w:rsid w:val="007C2573"/>
    <w:rsid w:val="007C5091"/>
    <w:rsid w:val="007D4FB8"/>
    <w:rsid w:val="007E0CC4"/>
    <w:rsid w:val="007E55A7"/>
    <w:rsid w:val="007F2759"/>
    <w:rsid w:val="007F3DAB"/>
    <w:rsid w:val="007F4267"/>
    <w:rsid w:val="007F789E"/>
    <w:rsid w:val="008138CE"/>
    <w:rsid w:val="00814903"/>
    <w:rsid w:val="0082471E"/>
    <w:rsid w:val="00827492"/>
    <w:rsid w:val="008309F4"/>
    <w:rsid w:val="008341BB"/>
    <w:rsid w:val="00836F31"/>
    <w:rsid w:val="00843E93"/>
    <w:rsid w:val="0085693B"/>
    <w:rsid w:val="00871F62"/>
    <w:rsid w:val="00876D97"/>
    <w:rsid w:val="00880CDE"/>
    <w:rsid w:val="00891BA1"/>
    <w:rsid w:val="00893FE9"/>
    <w:rsid w:val="008967AE"/>
    <w:rsid w:val="008A39E2"/>
    <w:rsid w:val="008C1BDD"/>
    <w:rsid w:val="008D07A4"/>
    <w:rsid w:val="008E01EB"/>
    <w:rsid w:val="008E032F"/>
    <w:rsid w:val="008E60CB"/>
    <w:rsid w:val="008E6123"/>
    <w:rsid w:val="008E73B8"/>
    <w:rsid w:val="009264B5"/>
    <w:rsid w:val="00934E05"/>
    <w:rsid w:val="00983EEA"/>
    <w:rsid w:val="00990561"/>
    <w:rsid w:val="009937C0"/>
    <w:rsid w:val="009A44C0"/>
    <w:rsid w:val="009A4D7A"/>
    <w:rsid w:val="009A6DCD"/>
    <w:rsid w:val="009B3027"/>
    <w:rsid w:val="009B76BB"/>
    <w:rsid w:val="00A04D80"/>
    <w:rsid w:val="00A06DD1"/>
    <w:rsid w:val="00A24ADE"/>
    <w:rsid w:val="00A27C0B"/>
    <w:rsid w:val="00A47B99"/>
    <w:rsid w:val="00A752C8"/>
    <w:rsid w:val="00A87FCA"/>
    <w:rsid w:val="00A92087"/>
    <w:rsid w:val="00AA53AA"/>
    <w:rsid w:val="00AA714A"/>
    <w:rsid w:val="00AB5598"/>
    <w:rsid w:val="00AD279B"/>
    <w:rsid w:val="00AD4386"/>
    <w:rsid w:val="00B02D18"/>
    <w:rsid w:val="00B076FF"/>
    <w:rsid w:val="00B16F02"/>
    <w:rsid w:val="00B76D56"/>
    <w:rsid w:val="00B9402D"/>
    <w:rsid w:val="00BA1AAA"/>
    <w:rsid w:val="00BB0CEB"/>
    <w:rsid w:val="00BB1D52"/>
    <w:rsid w:val="00BD5347"/>
    <w:rsid w:val="00BF6929"/>
    <w:rsid w:val="00C0538D"/>
    <w:rsid w:val="00C157CF"/>
    <w:rsid w:val="00C43545"/>
    <w:rsid w:val="00C54E8E"/>
    <w:rsid w:val="00C63F61"/>
    <w:rsid w:val="00C82C70"/>
    <w:rsid w:val="00C85A68"/>
    <w:rsid w:val="00C92034"/>
    <w:rsid w:val="00C92EF1"/>
    <w:rsid w:val="00CA5529"/>
    <w:rsid w:val="00CA5B25"/>
    <w:rsid w:val="00CC6D1C"/>
    <w:rsid w:val="00CD539B"/>
    <w:rsid w:val="00CE735F"/>
    <w:rsid w:val="00D04722"/>
    <w:rsid w:val="00D05827"/>
    <w:rsid w:val="00D307C3"/>
    <w:rsid w:val="00D36773"/>
    <w:rsid w:val="00D5295E"/>
    <w:rsid w:val="00D54DE7"/>
    <w:rsid w:val="00D64E3A"/>
    <w:rsid w:val="00D70970"/>
    <w:rsid w:val="00D74463"/>
    <w:rsid w:val="00D82A71"/>
    <w:rsid w:val="00D91E8A"/>
    <w:rsid w:val="00DA5364"/>
    <w:rsid w:val="00DB722D"/>
    <w:rsid w:val="00DC521C"/>
    <w:rsid w:val="00DD2C18"/>
    <w:rsid w:val="00DE723A"/>
    <w:rsid w:val="00DF2685"/>
    <w:rsid w:val="00DF5899"/>
    <w:rsid w:val="00E11192"/>
    <w:rsid w:val="00E230C8"/>
    <w:rsid w:val="00E26E94"/>
    <w:rsid w:val="00E64082"/>
    <w:rsid w:val="00E773D9"/>
    <w:rsid w:val="00EA77C6"/>
    <w:rsid w:val="00EB55DB"/>
    <w:rsid w:val="00ED7BBC"/>
    <w:rsid w:val="00EE21D1"/>
    <w:rsid w:val="00EF4595"/>
    <w:rsid w:val="00F0480D"/>
    <w:rsid w:val="00F23651"/>
    <w:rsid w:val="00F26C6C"/>
    <w:rsid w:val="00F31FCF"/>
    <w:rsid w:val="00F35E0C"/>
    <w:rsid w:val="00F77E71"/>
    <w:rsid w:val="00F835A6"/>
    <w:rsid w:val="00FA5A25"/>
    <w:rsid w:val="00FB6924"/>
    <w:rsid w:val="00FD417D"/>
    <w:rsid w:val="00FE339C"/>
    <w:rsid w:val="00F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5DB"/>
    <w:pPr>
      <w:jc w:val="center"/>
      <w:outlineLvl w:val="0"/>
    </w:pPr>
    <w:rPr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5DB"/>
    <w:pPr>
      <w:ind w:left="709" w:hanging="349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63F61"/>
  </w:style>
  <w:style w:type="paragraph" w:styleId="Footer">
    <w:name w:val="footer"/>
    <w:basedOn w:val="Normal"/>
    <w:link w:val="FooterChar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B55DB"/>
    <w:rPr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55DB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paragraph" w:customStyle="1" w:styleId="Blockquote">
    <w:name w:val="Blockquote"/>
    <w:basedOn w:val="Normal"/>
    <w:rsid w:val="004D1977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Emphasis">
    <w:name w:val="Emphasis"/>
    <w:qFormat/>
    <w:rsid w:val="004D1977"/>
    <w:rPr>
      <w:i/>
    </w:rPr>
  </w:style>
  <w:style w:type="character" w:styleId="Strong">
    <w:name w:val="Strong"/>
    <w:qFormat/>
    <w:rsid w:val="004D1977"/>
    <w:rPr>
      <w:b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5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A7C92-B2D0-42C3-9E56-355538D8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12</cp:revision>
  <cp:lastPrinted>2019-10-21T10:02:00Z</cp:lastPrinted>
  <dcterms:created xsi:type="dcterms:W3CDTF">2019-12-11T14:43:00Z</dcterms:created>
  <dcterms:modified xsi:type="dcterms:W3CDTF">2020-01-13T13:55:00Z</dcterms:modified>
</cp:coreProperties>
</file>