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1F6BBA2E" w14:textId="4E3F69EB" w:rsidR="009D4824" w:rsidRDefault="000724EA" w:rsidP="009D4824">
      <w:pPr>
        <w:spacing w:before="0" w:after="0"/>
        <w:ind w:left="1124" w:hanging="562"/>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9D4824">
        <w:rPr>
          <w:rFonts w:ascii="Times New Roman" w:hAnsi="Times New Roman"/>
          <w:sz w:val="22"/>
          <w:szCs w:val="22"/>
        </w:rPr>
        <w:t>Contracting Authority</w:t>
      </w:r>
    </w:p>
    <w:p w14:paraId="7F7A7442" w14:textId="77777777" w:rsidR="009D4824" w:rsidRDefault="009D4824" w:rsidP="009D4824">
      <w:pPr>
        <w:spacing w:before="0" w:after="0"/>
        <w:ind w:left="1124" w:hanging="562"/>
        <w:rPr>
          <w:rFonts w:ascii="Times New Roman" w:hAnsi="Times New Roman"/>
          <w:sz w:val="22"/>
          <w:szCs w:val="22"/>
        </w:rPr>
      </w:pPr>
    </w:p>
    <w:p w14:paraId="71211007" w14:textId="6B78419F" w:rsidR="009D4824" w:rsidRDefault="009D4824" w:rsidP="009D4824">
      <w:pPr>
        <w:spacing w:before="0" w:after="0"/>
        <w:ind w:left="1124" w:hanging="562"/>
        <w:rPr>
          <w:rFonts w:ascii="Times New Roman" w:hAnsi="Times New Roman"/>
          <w:sz w:val="22"/>
          <w:szCs w:val="22"/>
        </w:rPr>
      </w:pPr>
      <w:r>
        <w:rPr>
          <w:rFonts w:ascii="Times New Roman" w:hAnsi="Times New Roman"/>
          <w:sz w:val="22"/>
          <w:szCs w:val="22"/>
        </w:rPr>
        <w:t>Name: Natasa Milosavljevic Zezelj</w:t>
      </w:r>
    </w:p>
    <w:p w14:paraId="1C70DAF3" w14:textId="77777777" w:rsidR="009D4824" w:rsidRPr="003757D5" w:rsidRDefault="009D4824" w:rsidP="009D4824">
      <w:pPr>
        <w:spacing w:before="0" w:after="0"/>
        <w:ind w:left="1124" w:hanging="562"/>
        <w:rPr>
          <w:rFonts w:ascii="Times New Roman" w:hAnsi="Times New Roman"/>
          <w:sz w:val="22"/>
          <w:szCs w:val="22"/>
          <w:lang w:val="en-US"/>
        </w:rPr>
      </w:pPr>
      <w:r>
        <w:rPr>
          <w:rFonts w:ascii="Times New Roman" w:hAnsi="Times New Roman"/>
          <w:sz w:val="22"/>
          <w:szCs w:val="22"/>
          <w:lang w:val="en-US"/>
        </w:rPr>
        <w:t>Address: Nemanjina 334, 11000 Belgrade, III floor, office no. 7</w:t>
      </w:r>
    </w:p>
    <w:p w14:paraId="308C603D" w14:textId="56159972" w:rsidR="009D4824" w:rsidRDefault="009D4824" w:rsidP="009D4824">
      <w:pPr>
        <w:spacing w:before="0" w:after="0"/>
        <w:ind w:left="1124" w:hanging="562"/>
        <w:rPr>
          <w:rFonts w:ascii="Times New Roman" w:hAnsi="Times New Roman"/>
          <w:sz w:val="22"/>
          <w:szCs w:val="22"/>
          <w:lang w:val="en-US"/>
        </w:rPr>
      </w:pPr>
      <w:r>
        <w:rPr>
          <w:rFonts w:ascii="Times New Roman" w:hAnsi="Times New Roman"/>
          <w:sz w:val="22"/>
          <w:szCs w:val="22"/>
          <w:lang w:val="en-US"/>
        </w:rPr>
        <w:t xml:space="preserve">Emai: </w:t>
      </w:r>
      <w:hyperlink r:id="rId8" w:history="1">
        <w:r w:rsidRPr="00C72A24">
          <w:rPr>
            <w:rStyle w:val="Hyperlink"/>
            <w:rFonts w:ascii="Times New Roman" w:hAnsi="Times New Roman"/>
            <w:sz w:val="22"/>
            <w:szCs w:val="22"/>
            <w:lang w:val="en-US"/>
          </w:rPr>
          <w:t>natasa.milosavljevic@mei.gov.rs</w:t>
        </w:r>
      </w:hyperlink>
    </w:p>
    <w:p w14:paraId="15AC9CD5" w14:textId="33F488BA" w:rsidR="009D4824" w:rsidRDefault="009D4824" w:rsidP="009D4824">
      <w:pPr>
        <w:spacing w:before="0" w:after="0"/>
        <w:ind w:left="1124" w:hanging="562"/>
        <w:rPr>
          <w:rFonts w:ascii="Times New Roman" w:hAnsi="Times New Roman"/>
          <w:sz w:val="22"/>
          <w:szCs w:val="22"/>
          <w:lang w:val="en-US"/>
        </w:rPr>
      </w:pPr>
    </w:p>
    <w:p w14:paraId="190E03A6" w14:textId="77777777" w:rsidR="009D4824" w:rsidRDefault="009D4824" w:rsidP="009D4824">
      <w:pPr>
        <w:ind w:left="1134" w:hanging="567"/>
        <w:rPr>
          <w:rFonts w:ascii="Times New Roman" w:hAnsi="Times New Roman"/>
          <w:sz w:val="22"/>
          <w:szCs w:val="22"/>
          <w:lang w:val="en-US"/>
        </w:rPr>
      </w:pPr>
    </w:p>
    <w:p w14:paraId="49AEB56C" w14:textId="77777777" w:rsidR="009D4824" w:rsidRDefault="009D4824" w:rsidP="009D4824">
      <w:pPr>
        <w:ind w:left="1134" w:hanging="567"/>
        <w:rPr>
          <w:rFonts w:ascii="Times New Roman" w:hAnsi="Times New Roman"/>
          <w:sz w:val="22"/>
          <w:szCs w:val="22"/>
        </w:rPr>
      </w:pPr>
      <w:r>
        <w:rPr>
          <w:rFonts w:ascii="Times New Roman" w:hAnsi="Times New Roman"/>
          <w:sz w:val="22"/>
          <w:szCs w:val="22"/>
        </w:rPr>
        <w:t>Contractor:</w:t>
      </w:r>
    </w:p>
    <w:p w14:paraId="4E72B9F7" w14:textId="77777777" w:rsidR="009D4824" w:rsidRDefault="009D4824" w:rsidP="009D4824">
      <w:pPr>
        <w:ind w:left="1134" w:hanging="567"/>
        <w:rPr>
          <w:rFonts w:ascii="Times New Roman" w:hAnsi="Times New Roman"/>
          <w:sz w:val="22"/>
          <w:szCs w:val="22"/>
        </w:rPr>
      </w:pPr>
      <w:r>
        <w:rPr>
          <w:rFonts w:ascii="Times New Roman" w:hAnsi="Times New Roman"/>
          <w:sz w:val="22"/>
          <w:szCs w:val="22"/>
        </w:rPr>
        <w:t>Name:___________________________________</w:t>
      </w:r>
    </w:p>
    <w:p w14:paraId="22550862" w14:textId="77777777" w:rsidR="009D4824" w:rsidRDefault="009D4824" w:rsidP="009D4824">
      <w:pPr>
        <w:ind w:left="1134" w:hanging="567"/>
        <w:rPr>
          <w:rFonts w:ascii="Times New Roman" w:hAnsi="Times New Roman"/>
          <w:sz w:val="22"/>
          <w:szCs w:val="22"/>
        </w:rPr>
      </w:pPr>
      <w:r>
        <w:rPr>
          <w:rFonts w:ascii="Times New Roman" w:hAnsi="Times New Roman"/>
          <w:sz w:val="22"/>
          <w:szCs w:val="22"/>
        </w:rPr>
        <w:t>Address:_________________________________</w:t>
      </w:r>
    </w:p>
    <w:p w14:paraId="332F4E4D" w14:textId="77777777" w:rsidR="009D4824" w:rsidRDefault="009D4824" w:rsidP="009D4824">
      <w:pPr>
        <w:ind w:left="1134" w:hanging="567"/>
        <w:rPr>
          <w:rFonts w:ascii="Times New Roman" w:hAnsi="Times New Roman"/>
          <w:sz w:val="22"/>
          <w:szCs w:val="22"/>
        </w:rPr>
      </w:pPr>
      <w:r>
        <w:rPr>
          <w:rFonts w:ascii="Times New Roman" w:hAnsi="Times New Roman"/>
          <w:sz w:val="22"/>
          <w:szCs w:val="22"/>
        </w:rPr>
        <w:t>Phone:___________________________________</w:t>
      </w:r>
    </w:p>
    <w:p w14:paraId="38DBAA61" w14:textId="77777777" w:rsidR="009D4824" w:rsidRDefault="009D4824" w:rsidP="009D4824">
      <w:pPr>
        <w:ind w:left="1134" w:hanging="567"/>
        <w:rPr>
          <w:rFonts w:ascii="Times New Roman" w:hAnsi="Times New Roman"/>
          <w:sz w:val="22"/>
          <w:szCs w:val="22"/>
        </w:rPr>
      </w:pPr>
      <w:r>
        <w:rPr>
          <w:rFonts w:ascii="Times New Roman" w:hAnsi="Times New Roman"/>
          <w:sz w:val="22"/>
          <w:szCs w:val="22"/>
        </w:rPr>
        <w:t>Email:___________________________________</w:t>
      </w:r>
    </w:p>
    <w:p w14:paraId="472E1319" w14:textId="77777777" w:rsidR="009D4824" w:rsidRPr="009D4824" w:rsidRDefault="009D4824" w:rsidP="009D4824">
      <w:pPr>
        <w:spacing w:before="0" w:after="0"/>
        <w:ind w:left="1124" w:hanging="562"/>
        <w:rPr>
          <w:rFonts w:ascii="Times New Roman" w:hAnsi="Times New Roman"/>
          <w:sz w:val="22"/>
          <w:szCs w:val="22"/>
        </w:rPr>
      </w:pPr>
    </w:p>
    <w:p w14:paraId="45E0E858" w14:textId="77777777" w:rsidR="009D4824" w:rsidRPr="003757D5" w:rsidRDefault="009D4824" w:rsidP="009D4824">
      <w:pPr>
        <w:spacing w:before="0" w:after="0"/>
        <w:ind w:left="1124" w:hanging="562"/>
        <w:rPr>
          <w:rFonts w:ascii="Times New Roman" w:hAnsi="Times New Roman"/>
          <w:sz w:val="22"/>
          <w:szCs w:val="22"/>
          <w:lang w:val="en-US"/>
        </w:rPr>
      </w:pPr>
    </w:p>
    <w:p w14:paraId="402D9C62" w14:textId="051E293F" w:rsidR="006D3DE4" w:rsidRPr="006D3DE4" w:rsidRDefault="006D3DE4" w:rsidP="009D4824">
      <w:pPr>
        <w:ind w:left="1134" w:hanging="567"/>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5A6EE998"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4593513B" w14:textId="151E6DC4" w:rsidR="00511812" w:rsidRPr="003D6B6C" w:rsidRDefault="00511812" w:rsidP="00511812">
      <w:pPr>
        <w:jc w:val="both"/>
        <w:rPr>
          <w:rFonts w:ascii="Times New Roman" w:hAnsi="Times New Roman"/>
          <w:b/>
          <w:sz w:val="22"/>
          <w:szCs w:val="22"/>
        </w:rPr>
      </w:pPr>
      <w:r>
        <w:rPr>
          <w:rFonts w:ascii="Times New Roman" w:hAnsi="Times New Roman"/>
          <w:sz w:val="22"/>
          <w:szCs w:val="22"/>
        </w:rPr>
        <w:lastRenderedPageBreak/>
        <w:t xml:space="preserve">                 </w:t>
      </w:r>
      <w:r w:rsidRPr="006B26E8">
        <w:rPr>
          <w:rFonts w:ascii="Times New Roman" w:hAnsi="Times New Roman"/>
          <w:sz w:val="22"/>
        </w:rPr>
        <w:t>Together with the delivery the Contractor shall supply the Instruction (installation, operation and regular maintenance</w:t>
      </w:r>
      <w:r>
        <w:rPr>
          <w:rFonts w:ascii="Times New Roman" w:hAnsi="Times New Roman"/>
          <w:sz w:val="22"/>
        </w:rPr>
        <w:t xml:space="preserve"> if aplicable</w:t>
      </w:r>
      <w:r w:rsidRPr="006B26E8">
        <w:rPr>
          <w:rFonts w:ascii="Times New Roman" w:hAnsi="Times New Roman"/>
          <w:sz w:val="22"/>
        </w:rPr>
        <w:t>) Manuals in English</w:t>
      </w:r>
      <w:r>
        <w:rPr>
          <w:rFonts w:ascii="Times New Roman" w:hAnsi="Times New Roman"/>
          <w:sz w:val="22"/>
        </w:rPr>
        <w:t xml:space="preserve"> or Serbian</w:t>
      </w:r>
      <w:r w:rsidRPr="006B26E8">
        <w:rPr>
          <w:rFonts w:ascii="Times New Roman" w:hAnsi="Times New Roman"/>
          <w:sz w:val="22"/>
        </w:rPr>
        <w:t xml:space="preserve"> language</w:t>
      </w:r>
      <w:r>
        <w:rPr>
          <w:rFonts w:ascii="Times New Roman" w:hAnsi="Times New Roman"/>
          <w:sz w:val="22"/>
        </w:rPr>
        <w:t>.</w:t>
      </w:r>
    </w:p>
    <w:p w14:paraId="09203E64" w14:textId="34A1FDD3" w:rsidR="0047783A" w:rsidRPr="003D6B6C" w:rsidRDefault="0047783A" w:rsidP="00B34179">
      <w:pPr>
        <w:jc w:val="both"/>
        <w:rPr>
          <w:rFonts w:ascii="Times New Roman" w:hAnsi="Times New Roman"/>
          <w:b/>
          <w:sz w:val="22"/>
          <w:szCs w:val="22"/>
        </w:rPr>
      </w:pP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4"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4"/>
    </w:p>
    <w:p w14:paraId="135F16F8" w14:textId="77777777" w:rsidR="008D343C" w:rsidRPr="008D343C" w:rsidRDefault="0047783A" w:rsidP="008D343C">
      <w:pPr>
        <w:pStyle w:val="Heading2"/>
        <w:numPr>
          <w:ilvl w:val="1"/>
          <w:numId w:val="0"/>
        </w:numPr>
        <w:ind w:left="1134" w:hanging="708"/>
        <w:rPr>
          <w:rFonts w:ascii="Times New Roman" w:hAnsi="Times New Roman"/>
          <w:sz w:val="22"/>
          <w:szCs w:val="22"/>
          <w:lang w:val="en-US"/>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8D343C" w:rsidRPr="008D343C">
        <w:rPr>
          <w:rFonts w:ascii="Times New Roman" w:hAnsi="Times New Roman"/>
          <w:sz w:val="22"/>
          <w:szCs w:val="22"/>
          <w:lang w:val="en-US"/>
        </w:rPr>
        <w:t>Goods and materials supplied under a procurement or a grant contract, financed under the INTERREG IPA Romania-Serbia Programme are fully untied and can originate in any country. All supplies and materials are fully untied and no verification of origin is required.</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5"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5"/>
    </w:p>
    <w:p w14:paraId="20BFEFF7" w14:textId="4A64F104" w:rsidR="00D25711" w:rsidRPr="003D6B6C" w:rsidRDefault="00F355C1" w:rsidP="00E42658">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E42658">
        <w:rPr>
          <w:rFonts w:ascii="Times New Roman" w:hAnsi="Times New Roman"/>
          <w:sz w:val="22"/>
          <w:szCs w:val="22"/>
        </w:rPr>
        <w:t>No performance guarantee is required.</w:t>
      </w:r>
    </w:p>
    <w:p w14:paraId="7E65A926" w14:textId="0F2A710B" w:rsidR="0047783A" w:rsidRDefault="0047783A" w:rsidP="00B34179">
      <w:pPr>
        <w:spacing w:before="240"/>
        <w:ind w:left="1134" w:hanging="1134"/>
        <w:jc w:val="both"/>
        <w:rPr>
          <w:rFonts w:ascii="Times New Roman" w:hAnsi="Times New Roman"/>
          <w:b/>
          <w:sz w:val="24"/>
          <w:szCs w:val="24"/>
        </w:rPr>
      </w:pPr>
      <w:bookmarkStart w:id="6"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6"/>
    </w:p>
    <w:p w14:paraId="2ADF2F1C" w14:textId="77777777" w:rsidR="00E53BE0" w:rsidRPr="001005D4" w:rsidRDefault="00E53BE0" w:rsidP="00E53BE0">
      <w:pPr>
        <w:pStyle w:val="Default"/>
        <w:ind w:left="720"/>
        <w:jc w:val="both"/>
        <w:rPr>
          <w:snapToGrid w:val="0"/>
          <w:color w:val="auto"/>
          <w:sz w:val="22"/>
          <w:szCs w:val="22"/>
          <w:lang w:eastAsia="en-US"/>
        </w:rPr>
      </w:pPr>
      <w:r w:rsidRPr="001005D4">
        <w:rPr>
          <w:snapToGrid w:val="0"/>
          <w:color w:val="auto"/>
          <w:sz w:val="22"/>
          <w:szCs w:val="22"/>
          <w:lang w:eastAsia="en-US"/>
        </w:rPr>
        <w:t>All insurance costs including transportation will be borne by the contractor until the final acceptance without prejudice to article 29.7 of the General Conditions.</w:t>
      </w:r>
    </w:p>
    <w:p w14:paraId="4F1F0AEE" w14:textId="77777777" w:rsidR="00E53BE0" w:rsidRPr="001005D4" w:rsidRDefault="00E53BE0" w:rsidP="00E53BE0">
      <w:pPr>
        <w:pStyle w:val="Default"/>
        <w:ind w:left="2268"/>
        <w:jc w:val="both"/>
        <w:rPr>
          <w:snapToGrid w:val="0"/>
          <w:color w:val="auto"/>
          <w:sz w:val="22"/>
          <w:szCs w:val="22"/>
          <w:lang w:eastAsia="en-US"/>
        </w:rPr>
      </w:pPr>
    </w:p>
    <w:p w14:paraId="6A3F6053" w14:textId="42135B17" w:rsidR="00E53BE0" w:rsidRPr="00E53BE0" w:rsidRDefault="00E53BE0" w:rsidP="00E53BE0">
      <w:pPr>
        <w:pStyle w:val="Default"/>
        <w:ind w:left="720"/>
        <w:jc w:val="both"/>
        <w:rPr>
          <w:sz w:val="22"/>
          <w:szCs w:val="22"/>
        </w:rPr>
      </w:pPr>
      <w:r w:rsidRPr="001005D4">
        <w:rPr>
          <w:snapToGrid w:val="0"/>
          <w:color w:val="auto"/>
          <w:sz w:val="22"/>
          <w:szCs w:val="22"/>
          <w:lang w:eastAsia="en-US"/>
        </w:rPr>
        <w:t>The Contractor shall bear all risks at full replacement value and associated expenses until final acceptance is agreed and certified. The supplies must be covered by all types of insurance cover (carriage, damage, theft, third party liability, etc) until the issuance of the final acceptance.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7"/>
      <w:r w:rsidRPr="003D6B6C">
        <w:rPr>
          <w:rFonts w:ascii="Times New Roman" w:hAnsi="Times New Roman"/>
          <w:b/>
          <w:sz w:val="24"/>
          <w:szCs w:val="24"/>
        </w:rPr>
        <w:tab/>
      </w:r>
    </w:p>
    <w:p w14:paraId="4B4F2207" w14:textId="2AAD0E2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A01720">
        <w:rPr>
          <w:rFonts w:ascii="Times New Roman" w:hAnsi="Times New Roman"/>
          <w:sz w:val="22"/>
          <w:szCs w:val="22"/>
        </w:rPr>
        <w:t>The prices in the contract are fixed and not subject to any revision.</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8"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8"/>
      <w:r w:rsidR="00EB32E9" w:rsidRPr="003D6B6C">
        <w:rPr>
          <w:rFonts w:ascii="Times New Roman" w:hAnsi="Times New Roman"/>
          <w:b/>
          <w:sz w:val="24"/>
          <w:szCs w:val="24"/>
        </w:rPr>
        <w:t xml:space="preserve"> </w:t>
      </w:r>
    </w:p>
    <w:p w14:paraId="5D9535E4" w14:textId="18375BD7" w:rsidR="00EB32E9" w:rsidRPr="003D6B6C" w:rsidRDefault="0047783A" w:rsidP="006D47AD">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6D47AD" w:rsidRPr="006D47AD">
        <w:rPr>
          <w:rFonts w:ascii="Times New Roman" w:hAnsi="Times New Roman"/>
          <w:sz w:val="22"/>
          <w:szCs w:val="22"/>
        </w:rPr>
        <w:t>The date of signature of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14:paraId="24D80EC0" w14:textId="3B0847AA"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6D47AD">
        <w:rPr>
          <w:rFonts w:ascii="Times New Roman" w:hAnsi="Times New Roman"/>
          <w:sz w:val="22"/>
          <w:szCs w:val="22"/>
        </w:rPr>
        <w:t>18 days starting 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0"/>
    </w:p>
    <w:p w14:paraId="0506BF5F" w14:textId="6B74138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6D47AD" w:rsidRPr="001B558C">
        <w:rPr>
          <w:rFonts w:ascii="Times New Roman" w:hAnsi="Times New Roman"/>
          <w:sz w:val="22"/>
          <w:szCs w:val="22"/>
        </w:rPr>
        <w:t xml:space="preserve">Final technical acceptance will be carried out after the delivery of the supplies. Issuing of </w:t>
      </w:r>
      <w:r w:rsidR="006D47AD" w:rsidRPr="002B4CD1">
        <w:rPr>
          <w:rFonts w:ascii="Times New Roman" w:hAnsi="Times New Roman"/>
          <w:sz w:val="22"/>
          <w:szCs w:val="22"/>
        </w:rPr>
        <w:t>Final</w:t>
      </w:r>
      <w:r w:rsidR="006D47AD" w:rsidRPr="001B558C">
        <w:rPr>
          <w:rFonts w:ascii="Times New Roman" w:hAnsi="Times New Roman"/>
          <w:sz w:val="22"/>
          <w:szCs w:val="22"/>
        </w:rPr>
        <w:t xml:space="preserve"> technical acceptance certificate by the Contracting authority will be the basis for payment.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1"/>
    </w:p>
    <w:p w14:paraId="36172DDF" w14:textId="77777777" w:rsidR="006D47AD" w:rsidRDefault="005B0129" w:rsidP="006D47AD">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bookmarkStart w:id="12" w:name="_Toc124934912"/>
      <w:r w:rsidR="006D47AD" w:rsidRPr="001B558C">
        <w:rPr>
          <w:rFonts w:ascii="Times New Roman" w:hAnsi="Times New Roman"/>
          <w:bCs/>
          <w:sz w:val="22"/>
          <w:szCs w:val="22"/>
        </w:rPr>
        <w:t xml:space="preserve">Inspection and testing will be carried out prior to signature of </w:t>
      </w:r>
      <w:r w:rsidR="006D47AD">
        <w:rPr>
          <w:rFonts w:ascii="Times New Roman" w:hAnsi="Times New Roman"/>
          <w:bCs/>
          <w:sz w:val="22"/>
          <w:szCs w:val="22"/>
        </w:rPr>
        <w:t>Final Technical</w:t>
      </w:r>
      <w:r w:rsidR="006D47AD" w:rsidRPr="001B558C">
        <w:rPr>
          <w:rFonts w:ascii="Times New Roman" w:hAnsi="Times New Roman"/>
          <w:bCs/>
          <w:sz w:val="22"/>
          <w:szCs w:val="22"/>
        </w:rPr>
        <w:t xml:space="preserve"> Acceptance certificate.</w:t>
      </w:r>
    </w:p>
    <w:p w14:paraId="76351DF5" w14:textId="67EDCCA5" w:rsidR="0047783A" w:rsidRPr="003D6B6C" w:rsidRDefault="0047783A" w:rsidP="006D47AD">
      <w:pPr>
        <w:jc w:val="both"/>
        <w:rPr>
          <w:rFonts w:ascii="Times New Roman" w:hAnsi="Times New Roman"/>
          <w:b/>
          <w:sz w:val="24"/>
          <w:szCs w:val="24"/>
        </w:rPr>
      </w:pPr>
      <w:r w:rsidRPr="003D6B6C">
        <w:rPr>
          <w:rFonts w:ascii="Times New Roman" w:hAnsi="Times New Roman"/>
          <w:b/>
          <w:sz w:val="24"/>
          <w:szCs w:val="24"/>
        </w:rPr>
        <w:t>Article 26</w:t>
      </w:r>
      <w:bookmarkEnd w:id="12"/>
      <w:r w:rsidR="006D47AD">
        <w:rPr>
          <w:rFonts w:ascii="Times New Roman" w:hAnsi="Times New Roman"/>
          <w:b/>
          <w:sz w:val="24"/>
          <w:szCs w:val="24"/>
        </w:rPr>
        <w:t xml:space="preserve">  </w:t>
      </w:r>
      <w:r w:rsidR="005B0129" w:rsidRPr="003D6B6C">
        <w:rPr>
          <w:rFonts w:ascii="Times New Roman" w:hAnsi="Times New Roman"/>
          <w:b/>
          <w:sz w:val="24"/>
          <w:szCs w:val="24"/>
        </w:rPr>
        <w:t>General principles for payments</w:t>
      </w:r>
    </w:p>
    <w:p w14:paraId="6ECB3C62" w14:textId="6E2FDF9F"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235BC9">
        <w:rPr>
          <w:rFonts w:ascii="Times New Roman" w:hAnsi="Times New Roman"/>
          <w:sz w:val="22"/>
          <w:szCs w:val="22"/>
        </w:rPr>
        <w:t>RSD, calculated on a DDP basis for the supplies tendered</w:t>
      </w:r>
      <w:r w:rsidR="00392A8B">
        <w:rPr>
          <w:rFonts w:ascii="Times New Roman" w:hAnsi="Times New Roman"/>
          <w:sz w:val="22"/>
          <w:szCs w:val="22"/>
        </w:rPr>
        <w:t>, fully after the delivery, inspection and tasting and after ensuing Final Technical Acceptance certificate.</w:t>
      </w:r>
    </w:p>
    <w:p w14:paraId="05D86986" w14:textId="752A8D4C" w:rsidR="0047783A" w:rsidRPr="003D6B6C" w:rsidRDefault="00C70E2C" w:rsidP="005D03AA">
      <w:pPr>
        <w:tabs>
          <w:tab w:val="right" w:pos="9885"/>
        </w:tabs>
        <w:ind w:left="1134"/>
        <w:jc w:val="both"/>
        <w:rPr>
          <w:rFonts w:ascii="Times New Roman" w:hAnsi="Times New Roman"/>
          <w:sz w:val="22"/>
          <w:szCs w:val="22"/>
        </w:rPr>
      </w:pPr>
      <w:r w:rsidRPr="00392A8B">
        <w:rPr>
          <w:rFonts w:ascii="Times New Roman" w:hAnsi="Times New Roman"/>
          <w:sz w:val="22"/>
          <w:szCs w:val="22"/>
        </w:rPr>
        <w:lastRenderedPageBreak/>
        <w:t>Pre-financing is not applicable to this contract</w:t>
      </w:r>
    </w:p>
    <w:p w14:paraId="5E665AD4" w14:textId="78BF33FA" w:rsidR="005C269C" w:rsidRPr="00C5701E" w:rsidRDefault="0047783A" w:rsidP="00C5701E">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392A8B">
        <w:rPr>
          <w:rFonts w:ascii="Times New Roman" w:hAnsi="Times New Roman"/>
          <w:sz w:val="22"/>
          <w:szCs w:val="22"/>
        </w:rPr>
        <w:t>Ministry of European Integration.</w:t>
      </w:r>
      <w:bookmarkStart w:id="13" w:name="_Toc124934914"/>
    </w:p>
    <w:p w14:paraId="7C1E7DCB" w14:textId="714425AD"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3"/>
    </w:p>
    <w:p w14:paraId="38CCDEFD" w14:textId="65471F25"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5C269C">
        <w:rPr>
          <w:rFonts w:ascii="Times New Roman" w:hAnsi="Times New Roman"/>
          <w:sz w:val="22"/>
          <w:szCs w:val="22"/>
        </w:rPr>
        <w:t>Final</w:t>
      </w:r>
      <w:r w:rsidRPr="003D6B6C">
        <w:rPr>
          <w:rFonts w:ascii="Times New Roman" w:hAnsi="Times New Roman"/>
          <w:sz w:val="22"/>
          <w:szCs w:val="22"/>
        </w:rPr>
        <w:t xml:space="preserve">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4"/>
      <w:r w:rsidR="00177A94" w:rsidRPr="003D6B6C">
        <w:rPr>
          <w:rFonts w:ascii="Times New Roman" w:hAnsi="Times New Roman"/>
          <w:b/>
          <w:sz w:val="24"/>
          <w:szCs w:val="24"/>
        </w:rPr>
        <w:t xml:space="preserve"> obligations</w:t>
      </w:r>
    </w:p>
    <w:p w14:paraId="010CF286" w14:textId="54F1D707" w:rsidR="006A5A97" w:rsidRPr="002B4CD1" w:rsidRDefault="00177A94" w:rsidP="006A5A97">
      <w:pPr>
        <w:ind w:left="1134" w:hanging="708"/>
        <w:jc w:val="both"/>
        <w:rPr>
          <w:rFonts w:ascii="Times New Roman" w:hAnsi="Times New Roman"/>
          <w:sz w:val="22"/>
          <w:szCs w:val="22"/>
        </w:rPr>
      </w:pPr>
      <w:r w:rsidRPr="003D6B6C">
        <w:rPr>
          <w:rFonts w:ascii="Times New Roman" w:hAnsi="Times New Roman"/>
          <w:sz w:val="22"/>
          <w:szCs w:val="22"/>
        </w:rPr>
        <w:tab/>
      </w:r>
      <w:r w:rsidR="006A5A97" w:rsidRPr="002B4CD1">
        <w:rPr>
          <w:rFonts w:ascii="Times New Roman" w:hAnsi="Times New Roman"/>
          <w:sz w:val="22"/>
          <w:szCs w:val="22"/>
        </w:rPr>
        <w:t xml:space="preserve">The Contractor shall warrant that the supplies are new, unused, of the most recent models and incorporate all recent improvements in design and materials. The Contractor shall further warrant that none of the supplies have any defect arising from design, materials or workmanship. </w:t>
      </w:r>
    </w:p>
    <w:p w14:paraId="516F443D" w14:textId="4A98528C"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935D0C">
        <w:rPr>
          <w:rFonts w:ascii="Times New Roman" w:hAnsi="Times New Roman"/>
          <w:sz w:val="22"/>
          <w:szCs w:val="22"/>
        </w:rPr>
        <w:t xml:space="preserve">The warranty must remain valid for </w:t>
      </w:r>
      <w:r w:rsidR="00C5701E" w:rsidRPr="00935D0C">
        <w:rPr>
          <w:rFonts w:ascii="Times New Roman" w:hAnsi="Times New Roman"/>
          <w:sz w:val="22"/>
          <w:szCs w:val="22"/>
        </w:rPr>
        <w:t>m</w:t>
      </w:r>
      <w:r w:rsidR="00334F41" w:rsidRPr="00935D0C">
        <w:rPr>
          <w:rFonts w:ascii="Times New Roman" w:hAnsi="Times New Roman"/>
          <w:sz w:val="22"/>
          <w:szCs w:val="22"/>
        </w:rPr>
        <w:t>inimum</w:t>
      </w:r>
      <w:r w:rsidRPr="00935D0C">
        <w:rPr>
          <w:rFonts w:ascii="Times New Roman" w:hAnsi="Times New Roman"/>
          <w:sz w:val="22"/>
          <w:szCs w:val="22"/>
        </w:rPr>
        <w:t xml:space="preserve"> </w:t>
      </w:r>
      <w:r w:rsidR="00C5701E" w:rsidRPr="00935D0C">
        <w:rPr>
          <w:rFonts w:ascii="Times New Roman" w:hAnsi="Times New Roman"/>
          <w:sz w:val="22"/>
          <w:szCs w:val="22"/>
        </w:rPr>
        <w:t xml:space="preserve">two </w:t>
      </w:r>
      <w:r w:rsidRPr="00935D0C">
        <w:rPr>
          <w:rFonts w:ascii="Times New Roman" w:hAnsi="Times New Roman"/>
          <w:sz w:val="22"/>
          <w:szCs w:val="22"/>
        </w:rPr>
        <w:t>year</w:t>
      </w:r>
      <w:r w:rsidR="00C5701E" w:rsidRPr="00935D0C">
        <w:rPr>
          <w:rFonts w:ascii="Times New Roman" w:hAnsi="Times New Roman"/>
          <w:sz w:val="22"/>
          <w:szCs w:val="22"/>
        </w:rPr>
        <w:t>s</w:t>
      </w:r>
      <w:r w:rsidRPr="00935D0C">
        <w:rPr>
          <w:rFonts w:ascii="Times New Roman" w:hAnsi="Times New Roman"/>
          <w:sz w:val="22"/>
          <w:szCs w:val="22"/>
        </w:rPr>
        <w:t xml:space="preserve"> after </w:t>
      </w:r>
      <w:r w:rsidR="006A5A97" w:rsidRPr="00935D0C">
        <w:rPr>
          <w:rFonts w:ascii="Times New Roman" w:hAnsi="Times New Roman"/>
          <w:sz w:val="22"/>
          <w:szCs w:val="22"/>
        </w:rPr>
        <w:t>Final</w:t>
      </w:r>
      <w:r w:rsidRPr="00935D0C">
        <w:rPr>
          <w:rFonts w:ascii="Times New Roman" w:hAnsi="Times New Roman"/>
          <w:sz w:val="22"/>
          <w:szCs w:val="22"/>
        </w:rPr>
        <w:t xml:space="preserve"> acceptance.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Start w:id="16" w:name="_GoBack"/>
      <w:bookmarkEnd w:id="15"/>
      <w:bookmarkEnd w:id="16"/>
    </w:p>
    <w:p w14:paraId="32FDF6D7" w14:textId="3DD5D5E1" w:rsidR="00407C90" w:rsidRPr="00622409" w:rsidRDefault="0047783A" w:rsidP="00622409">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00622409">
        <w:rPr>
          <w:rFonts w:ascii="Times New Roman" w:hAnsi="Times New Roman"/>
          <w:sz w:val="22"/>
          <w:szCs w:val="22"/>
        </w:rPr>
        <w:tab/>
      </w:r>
      <w:r w:rsidRPr="00622409">
        <w:rPr>
          <w:rFonts w:ascii="Times New Roman" w:hAnsi="Times New Roman"/>
          <w:sz w:val="22"/>
          <w:szCs w:val="22"/>
        </w:rPr>
        <w:t xml:space="preserve">Any disputes arising out of or relating to this </w:t>
      </w:r>
      <w:r w:rsidR="00F60098" w:rsidRPr="00622409">
        <w:rPr>
          <w:rFonts w:ascii="Times New Roman" w:hAnsi="Times New Roman"/>
          <w:sz w:val="22"/>
          <w:szCs w:val="22"/>
        </w:rPr>
        <w:t>c</w:t>
      </w:r>
      <w:r w:rsidR="0097513D" w:rsidRPr="00622409">
        <w:rPr>
          <w:rFonts w:ascii="Times New Roman" w:hAnsi="Times New Roman"/>
          <w:sz w:val="22"/>
          <w:szCs w:val="22"/>
        </w:rPr>
        <w:t>ontract</w:t>
      </w:r>
      <w:r w:rsidRPr="00622409">
        <w:rPr>
          <w:rFonts w:ascii="Times New Roman" w:hAnsi="Times New Roman"/>
          <w:sz w:val="22"/>
          <w:szCs w:val="22"/>
        </w:rPr>
        <w:t xml:space="preserve"> which cannot be settled otherwise </w:t>
      </w:r>
      <w:r w:rsidR="00177A94" w:rsidRPr="00622409">
        <w:rPr>
          <w:rFonts w:ascii="Times New Roman" w:hAnsi="Times New Roman"/>
          <w:sz w:val="22"/>
          <w:szCs w:val="22"/>
        </w:rPr>
        <w:t xml:space="preserve">shall </w:t>
      </w:r>
      <w:r w:rsidRPr="00622409">
        <w:rPr>
          <w:rFonts w:ascii="Times New Roman" w:hAnsi="Times New Roman"/>
          <w:sz w:val="22"/>
          <w:szCs w:val="22"/>
        </w:rPr>
        <w:t xml:space="preserve">be referred to the exclusive jurisdiction of </w:t>
      </w:r>
      <w:r w:rsidR="00622409" w:rsidRPr="00622409">
        <w:rPr>
          <w:rFonts w:ascii="Times New Roman" w:hAnsi="Times New Roman"/>
          <w:sz w:val="22"/>
          <w:szCs w:val="22"/>
        </w:rPr>
        <w:t>Serbia, Commercial Court in Belgrade</w:t>
      </w:r>
      <w:r w:rsidRPr="00622409">
        <w:rPr>
          <w:rFonts w:ascii="Times New Roman" w:hAnsi="Times New Roman"/>
          <w:sz w:val="22"/>
          <w:szCs w:val="22"/>
        </w:rPr>
        <w:t xml:space="preserve"> </w:t>
      </w:r>
      <w:r w:rsidR="00686ACD" w:rsidRPr="00622409">
        <w:rPr>
          <w:rFonts w:ascii="Times New Roman" w:hAnsi="Times New Roman"/>
          <w:sz w:val="22"/>
          <w:szCs w:val="22"/>
        </w:rPr>
        <w:t xml:space="preserve">in accordance with </w:t>
      </w:r>
      <w:r w:rsidRPr="00622409">
        <w:rPr>
          <w:rFonts w:ascii="Times New Roman" w:hAnsi="Times New Roman"/>
          <w:sz w:val="22"/>
          <w:szCs w:val="22"/>
        </w:rPr>
        <w:t xml:space="preserve">the national legislation of </w:t>
      </w:r>
      <w:r w:rsidR="009A0E33" w:rsidRPr="00622409">
        <w:rPr>
          <w:rFonts w:ascii="Times New Roman" w:hAnsi="Times New Roman"/>
          <w:sz w:val="22"/>
          <w:szCs w:val="22"/>
        </w:rPr>
        <w:t xml:space="preserve">the state of </w:t>
      </w:r>
      <w:r w:rsidRPr="00622409">
        <w:rPr>
          <w:rFonts w:ascii="Times New Roman" w:hAnsi="Times New Roman"/>
          <w:sz w:val="22"/>
          <w:szCs w:val="22"/>
        </w:rPr>
        <w:t xml:space="preserve">the </w:t>
      </w:r>
      <w:r w:rsidR="00F60098" w:rsidRPr="00622409">
        <w:rPr>
          <w:rFonts w:ascii="Times New Roman" w:hAnsi="Times New Roman"/>
          <w:sz w:val="22"/>
          <w:szCs w:val="22"/>
        </w:rPr>
        <w:t>c</w:t>
      </w:r>
      <w:r w:rsidRPr="00622409">
        <w:rPr>
          <w:rFonts w:ascii="Times New Roman" w:hAnsi="Times New Roman"/>
          <w:sz w:val="22"/>
          <w:szCs w:val="22"/>
        </w:rPr>
        <w:t xml:space="preserve">ontracting </w:t>
      </w:r>
      <w:r w:rsidR="00F60098" w:rsidRPr="00622409">
        <w:rPr>
          <w:rFonts w:ascii="Times New Roman" w:hAnsi="Times New Roman"/>
          <w:sz w:val="22"/>
          <w:szCs w:val="22"/>
        </w:rPr>
        <w:t>a</w:t>
      </w:r>
      <w:r w:rsidRPr="00622409">
        <w:rPr>
          <w:rFonts w:ascii="Times New Roman" w:hAnsi="Times New Roman"/>
          <w:sz w:val="22"/>
          <w:szCs w:val="22"/>
        </w:rPr>
        <w:t>uthority.</w:t>
      </w:r>
      <w:r w:rsidR="00622409">
        <w:rPr>
          <w:rFonts w:ascii="Times New Roman" w:hAnsi="Times New Roman"/>
          <w:sz w:val="22"/>
          <w:szCs w:val="22"/>
        </w:rPr>
        <w:t xml:space="preserve"> </w:t>
      </w:r>
    </w:p>
    <w:p w14:paraId="53F35545" w14:textId="77777777" w:rsidR="00407C90" w:rsidRPr="00DB38CB" w:rsidRDefault="00407C90" w:rsidP="00407C90">
      <w:pPr>
        <w:keepNext/>
        <w:keepLines/>
        <w:tabs>
          <w:tab w:val="left" w:pos="1134"/>
        </w:tabs>
        <w:spacing w:before="240"/>
        <w:ind w:left="1134" w:hanging="1134"/>
        <w:rPr>
          <w:rFonts w:ascii="Times New Roman" w:hAnsi="Times New Roman"/>
          <w:b/>
          <w:sz w:val="24"/>
          <w:szCs w:val="24"/>
        </w:rPr>
      </w:pPr>
      <w:r w:rsidRPr="00DB38CB">
        <w:rPr>
          <w:rFonts w:ascii="Times New Roman" w:hAnsi="Times New Roman"/>
          <w:b/>
          <w:sz w:val="24"/>
          <w:szCs w:val="24"/>
        </w:rPr>
        <w:t>Article 44</w:t>
      </w:r>
      <w:r w:rsidRPr="00DB38CB">
        <w:rPr>
          <w:rFonts w:ascii="Times New Roman" w:hAnsi="Times New Roman"/>
          <w:b/>
          <w:sz w:val="24"/>
          <w:szCs w:val="24"/>
        </w:rPr>
        <w:tab/>
        <w:t xml:space="preserve">Data </w:t>
      </w:r>
      <w:r w:rsidR="00686E07" w:rsidRPr="00DB38CB">
        <w:rPr>
          <w:rFonts w:ascii="Times New Roman" w:hAnsi="Times New Roman"/>
          <w:b/>
          <w:sz w:val="24"/>
          <w:szCs w:val="24"/>
        </w:rPr>
        <w:t>p</w:t>
      </w:r>
      <w:r w:rsidRPr="00DB38CB">
        <w:rPr>
          <w:rFonts w:ascii="Times New Roman" w:hAnsi="Times New Roman"/>
          <w:b/>
          <w:sz w:val="24"/>
          <w:szCs w:val="24"/>
        </w:rPr>
        <w:t>rotection</w:t>
      </w:r>
    </w:p>
    <w:p w14:paraId="5F3FDACE" w14:textId="6B0587EF" w:rsidR="009F7E6A" w:rsidRPr="00DB38CB" w:rsidRDefault="00DB38CB" w:rsidP="009F7E6A">
      <w:pPr>
        <w:jc w:val="both"/>
        <w:rPr>
          <w:rFonts w:ascii="Times New Roman" w:hAnsi="Times New Roman"/>
          <w:sz w:val="22"/>
          <w:szCs w:val="22"/>
        </w:rPr>
      </w:pPr>
      <w:r w:rsidRPr="00F4288C">
        <w:rPr>
          <w:rFonts w:ascii="Times New Roman" w:hAnsi="Times New Roman"/>
          <w:sz w:val="22"/>
          <w:szCs w:val="22"/>
        </w:rPr>
        <w:t xml:space="preserve"> </w:t>
      </w:r>
      <w:r w:rsidR="009F7E6A" w:rsidRPr="00DB38C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09C88B96" w:rsidR="009F7E6A" w:rsidRPr="00F4288C" w:rsidRDefault="009F7E6A" w:rsidP="009F7E6A">
      <w:pPr>
        <w:jc w:val="both"/>
        <w:rPr>
          <w:rFonts w:ascii="Times New Roman" w:hAnsi="Times New Roman"/>
          <w:sz w:val="22"/>
          <w:szCs w:val="22"/>
          <w:u w:val="single"/>
        </w:rPr>
      </w:pPr>
      <w:r w:rsidRPr="00DB38C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DB38CB">
        <w:rPr>
          <w:rFonts w:ascii="Times New Roman" w:hAnsi="Times New Roman"/>
          <w:sz w:val="22"/>
          <w:szCs w:val="22"/>
        </w:rPr>
        <w:t>personnel</w:t>
      </w:r>
      <w:r w:rsidRPr="00DB38CB">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B38CB">
        <w:rPr>
          <w:rStyle w:val="FootnoteReference"/>
          <w:rFonts w:ascii="Times New Roman" w:hAnsi="Times New Roman"/>
          <w:sz w:val="22"/>
          <w:szCs w:val="22"/>
        </w:rPr>
        <w:footnoteReference w:id="1"/>
      </w:r>
      <w:r w:rsidRPr="00DB38CB">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62C48" w14:textId="77777777" w:rsidR="00F215D8" w:rsidRPr="006A5F84" w:rsidRDefault="00F215D8">
      <w:r w:rsidRPr="006A5F84">
        <w:separator/>
      </w:r>
    </w:p>
  </w:endnote>
  <w:endnote w:type="continuationSeparator" w:id="0">
    <w:p w14:paraId="568A3100" w14:textId="77777777" w:rsidR="00F215D8" w:rsidRPr="006A5F84" w:rsidRDefault="00F215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5E127C45"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935D0C">
      <w:rPr>
        <w:rStyle w:val="PageNumber"/>
        <w:rFonts w:ascii="Times New Roman" w:hAnsi="Times New Roman"/>
        <w:noProof/>
        <w:sz w:val="18"/>
        <w:szCs w:val="18"/>
        <w:lang w:val="en-GB"/>
      </w:rPr>
      <w:t>3</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935D0C">
      <w:rPr>
        <w:rStyle w:val="PageNumber"/>
        <w:rFonts w:ascii="Times New Roman" w:hAnsi="Times New Roman"/>
        <w:noProof/>
        <w:sz w:val="18"/>
        <w:szCs w:val="18"/>
        <w:lang w:val="en-GB"/>
      </w:rPr>
      <w:t>3</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7EB9A" w14:textId="77777777" w:rsidR="00F215D8" w:rsidRPr="006A5F84" w:rsidRDefault="00F215D8">
      <w:r w:rsidRPr="006A5F84">
        <w:separator/>
      </w:r>
    </w:p>
  </w:footnote>
  <w:footnote w:type="continuationSeparator" w:id="0">
    <w:p w14:paraId="20BC7E0B" w14:textId="77777777" w:rsidR="00F215D8" w:rsidRPr="006A5F84" w:rsidRDefault="00F215D8">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908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614"/>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228"/>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2FF"/>
    <w:rsid w:val="000B0983"/>
    <w:rsid w:val="000B1236"/>
    <w:rsid w:val="000B46A8"/>
    <w:rsid w:val="000B6AB1"/>
    <w:rsid w:val="000B79F6"/>
    <w:rsid w:val="000C0567"/>
    <w:rsid w:val="000C4AE6"/>
    <w:rsid w:val="000C709A"/>
    <w:rsid w:val="000D24E3"/>
    <w:rsid w:val="000D2B44"/>
    <w:rsid w:val="000D40DB"/>
    <w:rsid w:val="000E7B75"/>
    <w:rsid w:val="000F1339"/>
    <w:rsid w:val="000F5F5F"/>
    <w:rsid w:val="001020D9"/>
    <w:rsid w:val="00103348"/>
    <w:rsid w:val="00103913"/>
    <w:rsid w:val="001064CD"/>
    <w:rsid w:val="00106D4F"/>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B6675"/>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35BC9"/>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5177"/>
    <w:rsid w:val="002D6EED"/>
    <w:rsid w:val="002E5532"/>
    <w:rsid w:val="002F0BB0"/>
    <w:rsid w:val="002F1222"/>
    <w:rsid w:val="002F710F"/>
    <w:rsid w:val="00322263"/>
    <w:rsid w:val="00324259"/>
    <w:rsid w:val="0032469B"/>
    <w:rsid w:val="003308C6"/>
    <w:rsid w:val="003316E3"/>
    <w:rsid w:val="0033212F"/>
    <w:rsid w:val="003323F5"/>
    <w:rsid w:val="003330F8"/>
    <w:rsid w:val="00334F41"/>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2A8B"/>
    <w:rsid w:val="00395823"/>
    <w:rsid w:val="003A1309"/>
    <w:rsid w:val="003A431E"/>
    <w:rsid w:val="003C084D"/>
    <w:rsid w:val="003C2861"/>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19B9"/>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2FEB"/>
    <w:rsid w:val="00483E26"/>
    <w:rsid w:val="0049088E"/>
    <w:rsid w:val="0049293D"/>
    <w:rsid w:val="00494168"/>
    <w:rsid w:val="004A0140"/>
    <w:rsid w:val="004A101E"/>
    <w:rsid w:val="004A6563"/>
    <w:rsid w:val="004A7ED9"/>
    <w:rsid w:val="004B7463"/>
    <w:rsid w:val="004C270A"/>
    <w:rsid w:val="004C35B5"/>
    <w:rsid w:val="004C370D"/>
    <w:rsid w:val="004C3C82"/>
    <w:rsid w:val="004C77A2"/>
    <w:rsid w:val="004D2FD8"/>
    <w:rsid w:val="004D33C9"/>
    <w:rsid w:val="004E43B2"/>
    <w:rsid w:val="004E6C5D"/>
    <w:rsid w:val="004F5C57"/>
    <w:rsid w:val="004F7A0E"/>
    <w:rsid w:val="005005D7"/>
    <w:rsid w:val="00501FF0"/>
    <w:rsid w:val="005047E0"/>
    <w:rsid w:val="00507AF2"/>
    <w:rsid w:val="00507BA0"/>
    <w:rsid w:val="00511812"/>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269C"/>
    <w:rsid w:val="005C36B8"/>
    <w:rsid w:val="005D0163"/>
    <w:rsid w:val="005D03AA"/>
    <w:rsid w:val="005D05B0"/>
    <w:rsid w:val="005D72F7"/>
    <w:rsid w:val="005E0DF4"/>
    <w:rsid w:val="005F3C51"/>
    <w:rsid w:val="005F62D0"/>
    <w:rsid w:val="00602210"/>
    <w:rsid w:val="00611A73"/>
    <w:rsid w:val="006219A1"/>
    <w:rsid w:val="00622409"/>
    <w:rsid w:val="00623AB3"/>
    <w:rsid w:val="006311FE"/>
    <w:rsid w:val="0063123B"/>
    <w:rsid w:val="00633829"/>
    <w:rsid w:val="00636E8F"/>
    <w:rsid w:val="00637C8F"/>
    <w:rsid w:val="006408AC"/>
    <w:rsid w:val="00640D24"/>
    <w:rsid w:val="00642E75"/>
    <w:rsid w:val="00655A60"/>
    <w:rsid w:val="00661B3C"/>
    <w:rsid w:val="0066519D"/>
    <w:rsid w:val="0066753E"/>
    <w:rsid w:val="00670223"/>
    <w:rsid w:val="00677500"/>
    <w:rsid w:val="0068247E"/>
    <w:rsid w:val="00683E34"/>
    <w:rsid w:val="00684801"/>
    <w:rsid w:val="006858D9"/>
    <w:rsid w:val="00686ACD"/>
    <w:rsid w:val="00686E07"/>
    <w:rsid w:val="006917B2"/>
    <w:rsid w:val="00692095"/>
    <w:rsid w:val="00695007"/>
    <w:rsid w:val="0069788F"/>
    <w:rsid w:val="006A5A97"/>
    <w:rsid w:val="006A5F84"/>
    <w:rsid w:val="006B0AB1"/>
    <w:rsid w:val="006B145B"/>
    <w:rsid w:val="006B5E82"/>
    <w:rsid w:val="006C2F05"/>
    <w:rsid w:val="006C2FD3"/>
    <w:rsid w:val="006C3263"/>
    <w:rsid w:val="006C513D"/>
    <w:rsid w:val="006D3BA1"/>
    <w:rsid w:val="006D3DE4"/>
    <w:rsid w:val="006D47AD"/>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39A7"/>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27C"/>
    <w:rsid w:val="008923B0"/>
    <w:rsid w:val="00892CE9"/>
    <w:rsid w:val="008934F5"/>
    <w:rsid w:val="008A048D"/>
    <w:rsid w:val="008A0660"/>
    <w:rsid w:val="008A39B7"/>
    <w:rsid w:val="008A6DE2"/>
    <w:rsid w:val="008B230C"/>
    <w:rsid w:val="008C4E79"/>
    <w:rsid w:val="008C5A40"/>
    <w:rsid w:val="008C5DAA"/>
    <w:rsid w:val="008C6A92"/>
    <w:rsid w:val="008D065E"/>
    <w:rsid w:val="008D343C"/>
    <w:rsid w:val="008E40E2"/>
    <w:rsid w:val="008E5F59"/>
    <w:rsid w:val="008E7A2D"/>
    <w:rsid w:val="008F3866"/>
    <w:rsid w:val="008F4FF6"/>
    <w:rsid w:val="009143FD"/>
    <w:rsid w:val="00920A51"/>
    <w:rsid w:val="00922542"/>
    <w:rsid w:val="00923EDA"/>
    <w:rsid w:val="009251E3"/>
    <w:rsid w:val="00925DBE"/>
    <w:rsid w:val="00930AD1"/>
    <w:rsid w:val="0093582A"/>
    <w:rsid w:val="00935D0C"/>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4824"/>
    <w:rsid w:val="009D6A3D"/>
    <w:rsid w:val="009E4F6E"/>
    <w:rsid w:val="009E6BB7"/>
    <w:rsid w:val="009F22C3"/>
    <w:rsid w:val="009F3126"/>
    <w:rsid w:val="009F7E6A"/>
    <w:rsid w:val="00A01720"/>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4630"/>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6153"/>
    <w:rsid w:val="00B4772C"/>
    <w:rsid w:val="00B51209"/>
    <w:rsid w:val="00B52AFC"/>
    <w:rsid w:val="00B569B1"/>
    <w:rsid w:val="00B576E1"/>
    <w:rsid w:val="00B57BB8"/>
    <w:rsid w:val="00B605B6"/>
    <w:rsid w:val="00B61CED"/>
    <w:rsid w:val="00B63280"/>
    <w:rsid w:val="00B65C76"/>
    <w:rsid w:val="00B7099E"/>
    <w:rsid w:val="00B70C0E"/>
    <w:rsid w:val="00B7329A"/>
    <w:rsid w:val="00B80DE8"/>
    <w:rsid w:val="00B8161D"/>
    <w:rsid w:val="00B84EBC"/>
    <w:rsid w:val="00B90866"/>
    <w:rsid w:val="00B90A17"/>
    <w:rsid w:val="00B90C14"/>
    <w:rsid w:val="00B9316C"/>
    <w:rsid w:val="00B965CD"/>
    <w:rsid w:val="00B9691D"/>
    <w:rsid w:val="00BA3081"/>
    <w:rsid w:val="00BA3B1A"/>
    <w:rsid w:val="00BA70CB"/>
    <w:rsid w:val="00BB2075"/>
    <w:rsid w:val="00BB56D3"/>
    <w:rsid w:val="00BC0A51"/>
    <w:rsid w:val="00BC3B75"/>
    <w:rsid w:val="00BC3D17"/>
    <w:rsid w:val="00BC51FA"/>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26FC8"/>
    <w:rsid w:val="00C302E1"/>
    <w:rsid w:val="00C3235B"/>
    <w:rsid w:val="00C34E40"/>
    <w:rsid w:val="00C41328"/>
    <w:rsid w:val="00C41919"/>
    <w:rsid w:val="00C45D2B"/>
    <w:rsid w:val="00C52305"/>
    <w:rsid w:val="00C5701E"/>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95AB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B38CB"/>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2658"/>
    <w:rsid w:val="00E46AA5"/>
    <w:rsid w:val="00E52467"/>
    <w:rsid w:val="00E52D98"/>
    <w:rsid w:val="00E53BE0"/>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69440897">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atasa.milosavljevic@mei.gov.r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A5819-77F7-4E4A-BE0F-3FAF73BC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3</Pages>
  <Words>981</Words>
  <Characters>5597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6565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Nataša Milosavljević Žeželj</cp:lastModifiedBy>
  <cp:revision>149</cp:revision>
  <cp:lastPrinted>2014-02-11T14:32:00Z</cp:lastPrinted>
  <dcterms:created xsi:type="dcterms:W3CDTF">2018-12-18T11:40:00Z</dcterms:created>
  <dcterms:modified xsi:type="dcterms:W3CDTF">2023-11-09T11:16:00Z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