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2B020EA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E0344F">
        <w:rPr>
          <w:rFonts w:ascii="Times New Roman" w:hAnsi="Times New Roman"/>
          <w:sz w:val="22"/>
          <w:szCs w:val="22"/>
          <w:lang w:val="en-GB"/>
        </w:rPr>
        <w:t>TAFANA/47207/1</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475034C" w14:textId="77777777" w:rsidR="006E03A3" w:rsidRDefault="00C7322E" w:rsidP="0042695A">
      <w:pPr>
        <w:spacing w:before="0" w:after="0"/>
        <w:ind w:left="709" w:hanging="142"/>
        <w:jc w:val="both"/>
        <w:rPr>
          <w:rFonts w:ascii="Times New Roman" w:hAnsi="Times New Roman"/>
          <w:sz w:val="22"/>
        </w:rPr>
      </w:pPr>
      <w:r w:rsidRPr="004F1F8C">
        <w:rPr>
          <w:rFonts w:ascii="Times New Roman" w:hAnsi="Times New Roman"/>
          <w:sz w:val="22"/>
        </w:rPr>
        <w:t xml:space="preserve">the </w:t>
      </w:r>
      <w:r w:rsidRPr="006E03A3">
        <w:rPr>
          <w:rFonts w:ascii="Times New Roman" w:hAnsi="Times New Roman"/>
          <w:sz w:val="22"/>
        </w:rPr>
        <w:t>supply</w:t>
      </w:r>
      <w:r w:rsidR="006E03A3" w:rsidRPr="006E03A3">
        <w:rPr>
          <w:rFonts w:ascii="Times New Roman" w:hAnsi="Times New Roman"/>
          <w:sz w:val="22"/>
        </w:rPr>
        <w:t xml:space="preserve"> and </w:t>
      </w:r>
      <w:r w:rsidRPr="006E03A3">
        <w:rPr>
          <w:rFonts w:ascii="Times New Roman" w:hAnsi="Times New Roman"/>
          <w:sz w:val="22"/>
        </w:rPr>
        <w:t>delivery</w:t>
      </w:r>
      <w:r w:rsidR="006E03A3">
        <w:rPr>
          <w:rFonts w:ascii="Times New Roman" w:hAnsi="Times New Roman"/>
          <w:sz w:val="22"/>
        </w:rPr>
        <w:t xml:space="preserve"> </w:t>
      </w:r>
      <w:r w:rsidRPr="004F1F8C">
        <w:rPr>
          <w:rFonts w:ascii="Times New Roman" w:hAnsi="Times New Roman"/>
          <w:sz w:val="22"/>
        </w:rPr>
        <w:t>of the following supplies:</w:t>
      </w:r>
      <w:r w:rsidR="006E03A3">
        <w:rPr>
          <w:rFonts w:ascii="Times New Roman" w:hAnsi="Times New Roman"/>
          <w:sz w:val="22"/>
        </w:rPr>
        <w:t xml:space="preserve"> </w:t>
      </w:r>
    </w:p>
    <w:p w14:paraId="7FC19D24" w14:textId="77777777" w:rsidR="006E03A3" w:rsidRDefault="006E03A3" w:rsidP="0042695A">
      <w:pPr>
        <w:spacing w:before="0" w:after="0"/>
        <w:ind w:left="709" w:hanging="142"/>
        <w:jc w:val="both"/>
        <w:rPr>
          <w:rFonts w:ascii="Times New Roman" w:hAnsi="Times New Roman"/>
          <w:sz w:val="22"/>
        </w:rPr>
      </w:pPr>
    </w:p>
    <w:p w14:paraId="1D2AE786" w14:textId="6D520AE4" w:rsidR="00C7322E" w:rsidRDefault="006E03A3" w:rsidP="0042695A">
      <w:pPr>
        <w:spacing w:before="0" w:after="0"/>
        <w:ind w:left="709" w:hanging="142"/>
        <w:jc w:val="both"/>
        <w:rPr>
          <w:rFonts w:ascii="Times New Roman" w:hAnsi="Times New Roman"/>
          <w:sz w:val="22"/>
        </w:rPr>
      </w:pPr>
      <w:r>
        <w:rPr>
          <w:rFonts w:ascii="Times New Roman" w:hAnsi="Times New Roman"/>
          <w:sz w:val="22"/>
        </w:rPr>
        <w:t>IT equipment’s:</w:t>
      </w:r>
    </w:p>
    <w:p w14:paraId="15D082FD" w14:textId="45AF38F6" w:rsidR="006E03A3" w:rsidRDefault="006E03A3" w:rsidP="0042695A">
      <w:pPr>
        <w:spacing w:before="0" w:after="0"/>
        <w:ind w:left="709" w:hanging="142"/>
        <w:jc w:val="both"/>
        <w:rPr>
          <w:rFonts w:ascii="Times New Roman" w:hAnsi="Times New Roman"/>
          <w:sz w:val="22"/>
        </w:rPr>
      </w:pPr>
      <w:r>
        <w:rPr>
          <w:rFonts w:ascii="Times New Roman" w:hAnsi="Times New Roman"/>
          <w:sz w:val="22"/>
        </w:rPr>
        <w:t xml:space="preserve">-Laptop -14 pieces </w:t>
      </w:r>
    </w:p>
    <w:p w14:paraId="29C63D9F" w14:textId="582581F3" w:rsidR="006E03A3" w:rsidRDefault="006E03A3" w:rsidP="0042695A">
      <w:pPr>
        <w:spacing w:before="0" w:after="0"/>
        <w:ind w:left="709" w:hanging="142"/>
        <w:jc w:val="both"/>
        <w:rPr>
          <w:rFonts w:ascii="Times New Roman" w:hAnsi="Times New Roman"/>
          <w:sz w:val="22"/>
        </w:rPr>
      </w:pPr>
      <w:r>
        <w:rPr>
          <w:rFonts w:ascii="Times New Roman" w:hAnsi="Times New Roman"/>
          <w:sz w:val="22"/>
        </w:rPr>
        <w:t>-Ups – 1 piece</w:t>
      </w:r>
    </w:p>
    <w:p w14:paraId="31F73C8B" w14:textId="2EA3AF93" w:rsidR="006E03A3" w:rsidRDefault="006E03A3" w:rsidP="0042695A">
      <w:pPr>
        <w:spacing w:before="0" w:after="0"/>
        <w:ind w:left="709" w:hanging="142"/>
        <w:jc w:val="both"/>
        <w:rPr>
          <w:rFonts w:ascii="Times New Roman" w:hAnsi="Times New Roman"/>
          <w:sz w:val="22"/>
        </w:rPr>
      </w:pPr>
      <w:r>
        <w:rPr>
          <w:rFonts w:ascii="Times New Roman" w:hAnsi="Times New Roman"/>
          <w:sz w:val="22"/>
        </w:rPr>
        <w:t>-Desktop computers-2 pieces</w:t>
      </w:r>
    </w:p>
    <w:p w14:paraId="56261449" w14:textId="3BC7A00B" w:rsidR="006E03A3" w:rsidRDefault="006E03A3" w:rsidP="0042695A">
      <w:pPr>
        <w:spacing w:before="0" w:after="0"/>
        <w:ind w:left="709" w:hanging="142"/>
        <w:jc w:val="both"/>
        <w:rPr>
          <w:rFonts w:ascii="Times New Roman" w:hAnsi="Times New Roman"/>
          <w:sz w:val="22"/>
        </w:rPr>
      </w:pPr>
      <w:r>
        <w:rPr>
          <w:rFonts w:ascii="Times New Roman" w:hAnsi="Times New Roman"/>
          <w:sz w:val="22"/>
        </w:rPr>
        <w:t>-Monitor-2 pieces</w:t>
      </w:r>
    </w:p>
    <w:p w14:paraId="74538B87" w14:textId="6AC353D3" w:rsidR="006E03A3" w:rsidRPr="0042695A" w:rsidRDefault="006E03A3" w:rsidP="0042695A">
      <w:pPr>
        <w:spacing w:before="0" w:after="0"/>
        <w:ind w:left="709" w:hanging="142"/>
        <w:jc w:val="both"/>
        <w:rPr>
          <w:highlight w:val="yellow"/>
        </w:rPr>
      </w:pPr>
      <w:r>
        <w:rPr>
          <w:rFonts w:ascii="Times New Roman" w:hAnsi="Times New Roman"/>
          <w:sz w:val="22"/>
        </w:rPr>
        <w:t>-Mobile phone-7 pieces</w:t>
      </w:r>
    </w:p>
    <w:p w14:paraId="0086F5CD" w14:textId="14E97E95" w:rsidR="0047783A" w:rsidRPr="00E82463" w:rsidRDefault="006E03A3" w:rsidP="00E82463">
      <w:pPr>
        <w:ind w:left="567"/>
        <w:jc w:val="both"/>
        <w:rPr>
          <w:rFonts w:ascii="Times New Roman" w:hAnsi="Times New Roman"/>
          <w:sz w:val="22"/>
        </w:rPr>
      </w:pPr>
      <w:r>
        <w:rPr>
          <w:rFonts w:ascii="Times New Roman" w:hAnsi="Times New Roman"/>
          <w:sz w:val="22"/>
        </w:rPr>
        <w:t xml:space="preserve">to the </w:t>
      </w:r>
      <w:r w:rsidR="00CF63C2" w:rsidRPr="00E82463">
        <w:rPr>
          <w:rFonts w:ascii="Times New Roman" w:hAnsi="Times New Roman"/>
          <w:sz w:val="22"/>
        </w:rPr>
        <w:t xml:space="preserve"> </w:t>
      </w:r>
      <w:r>
        <w:rPr>
          <w:rFonts w:ascii="Times New Roman" w:hAnsi="Times New Roman"/>
          <w:sz w:val="22"/>
        </w:rPr>
        <w:t>Ministry of European Integration, acting as National Authority of Interreg IPA Romania-Serbia Programme, Nemanjina 34, 11000 Belgrade, Serbia</w:t>
      </w:r>
      <w:r w:rsidR="00A9234C">
        <w:rPr>
          <w:rFonts w:ascii="Times New Roman" w:hAnsi="Times New Roman"/>
          <w:sz w:val="22"/>
        </w:rPr>
        <w:t>,</w:t>
      </w:r>
      <w:r>
        <w:rPr>
          <w:rFonts w:ascii="Times New Roman" w:hAnsi="Times New Roman"/>
          <w:sz w:val="22"/>
        </w:rPr>
        <w:t xml:space="preserve"> </w:t>
      </w:r>
      <w:r w:rsidR="00CF63C2" w:rsidRPr="00A9234C">
        <w:rPr>
          <w:rFonts w:ascii="Times New Roman" w:hAnsi="Times New Roman"/>
          <w:sz w:val="22"/>
        </w:rPr>
        <w:t>DDP</w:t>
      </w:r>
      <w:r w:rsidR="00CF63C2" w:rsidRPr="00A9234C">
        <w:rPr>
          <w:rStyle w:val="FootnoteReference"/>
          <w:rFonts w:ascii="Times New Roman" w:hAnsi="Times New Roman"/>
          <w:sz w:val="22"/>
        </w:rPr>
        <w:footnoteReference w:id="1"/>
      </w:r>
      <w:r w:rsidR="006A5F84" w:rsidRPr="00A9234C">
        <w:rPr>
          <w:rFonts w:ascii="Times New Roman" w:hAnsi="Times New Roman"/>
          <w:sz w:val="22"/>
        </w:rPr>
        <w:t>,</w:t>
      </w:r>
      <w:r w:rsidR="0047783A" w:rsidRPr="00A9234C">
        <w:rPr>
          <w:rFonts w:ascii="Times New Roman" w:hAnsi="Times New Roman"/>
          <w:sz w:val="22"/>
        </w:rPr>
        <w:t xml:space="preserve"> and the implementation period </w:t>
      </w:r>
      <w:r w:rsidR="00A9234C" w:rsidRPr="00A9234C">
        <w:rPr>
          <w:rFonts w:ascii="Times New Roman" w:hAnsi="Times New Roman"/>
          <w:sz w:val="22"/>
        </w:rPr>
        <w:t xml:space="preserve">will be 18 </w:t>
      </w:r>
      <w:r w:rsidR="0047783A" w:rsidRPr="00A9234C">
        <w:rPr>
          <w:rFonts w:ascii="Times New Roman" w:hAnsi="Times New Roman"/>
          <w:sz w:val="22"/>
        </w:rPr>
        <w:t xml:space="preserve">days, in accordance with the </w:t>
      </w:r>
      <w:r w:rsidR="00A8413B" w:rsidRPr="00A9234C">
        <w:rPr>
          <w:rFonts w:ascii="Times New Roman" w:hAnsi="Times New Roman"/>
          <w:sz w:val="22"/>
        </w:rPr>
        <w:t>c</w:t>
      </w:r>
      <w:r w:rsidR="00171C45" w:rsidRPr="00A9234C">
        <w:rPr>
          <w:rFonts w:ascii="Times New Roman" w:hAnsi="Times New Roman"/>
          <w:sz w:val="22"/>
        </w:rPr>
        <w:t>ontract notice</w:t>
      </w:r>
      <w:r w:rsidR="00B50CF5" w:rsidRPr="00A9234C">
        <w:rPr>
          <w:rFonts w:ascii="Times New Roman" w:hAnsi="Times New Roman"/>
          <w:sz w:val="22"/>
        </w:rPr>
        <w:t>/additional information about the contract notice</w:t>
      </w:r>
      <w:r w:rsidR="0047783A" w:rsidRPr="00A9234C">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1218C0AE"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lastRenderedPageBreak/>
        <w:t>1.3</w:t>
      </w:r>
      <w:r w:rsidRPr="00E82463">
        <w:rPr>
          <w:rFonts w:ascii="Times New Roman" w:hAnsi="Times New Roman"/>
          <w:sz w:val="22"/>
          <w:lang w:val="en-GB"/>
        </w:rPr>
        <w:tab/>
      </w:r>
      <w:r w:rsidR="0090086C">
        <w:rPr>
          <w:rFonts w:ascii="Times New Roman" w:hAnsi="Times New Roman"/>
          <w:sz w:val="22"/>
          <w:lang w:val="en-GB"/>
        </w:rPr>
        <w:t>N/A</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36EAF8E0" w:rsidR="00403B25" w:rsidRPr="00E82463" w:rsidRDefault="005F3CFA" w:rsidP="00403B25">
            <w:pPr>
              <w:jc w:val="center"/>
              <w:rPr>
                <w:rFonts w:ascii="Times New Roman" w:hAnsi="Times New Roman"/>
                <w:sz w:val="22"/>
              </w:rPr>
            </w:pPr>
            <w:r>
              <w:rPr>
                <w:rFonts w:ascii="Times New Roman" w:hAnsi="Times New Roman"/>
                <w:sz w:val="22"/>
              </w:rPr>
              <w:t>N/A</w:t>
            </w:r>
          </w:p>
        </w:tc>
        <w:tc>
          <w:tcPr>
            <w:tcW w:w="2268" w:type="dxa"/>
          </w:tcPr>
          <w:p w14:paraId="2746E565" w14:textId="64573775" w:rsidR="00403B25" w:rsidRPr="00156114" w:rsidRDefault="005F3CFA" w:rsidP="00403B25">
            <w:pPr>
              <w:jc w:val="center"/>
              <w:rPr>
                <w:rFonts w:ascii="Times New Roman" w:hAnsi="Times New Roman"/>
                <w:sz w:val="22"/>
              </w:rPr>
            </w:pPr>
            <w:r>
              <w:rPr>
                <w:rFonts w:ascii="Times New Roman" w:hAnsi="Times New Roman"/>
                <w:sz w:val="22"/>
                <w:szCs w:val="22"/>
              </w:rPr>
              <w:t>N/A</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61E24F55" w:rsidR="00403B25" w:rsidRPr="009E7456" w:rsidRDefault="005F3CFA">
            <w:pPr>
              <w:rPr>
                <w:rFonts w:ascii="Times New Roman" w:hAnsi="Times New Roman"/>
                <w:sz w:val="22"/>
                <w:szCs w:val="22"/>
              </w:rPr>
            </w:pPr>
            <w:r w:rsidRPr="009E7456">
              <w:rPr>
                <w:rFonts w:ascii="Times New Roman" w:hAnsi="Times New Roman"/>
                <w:sz w:val="22"/>
                <w:szCs w:val="22"/>
              </w:rPr>
              <w:t>November, 24</w:t>
            </w:r>
            <w:r w:rsidRPr="009E7456">
              <w:rPr>
                <w:rFonts w:ascii="Times New Roman" w:hAnsi="Times New Roman"/>
                <w:sz w:val="22"/>
                <w:szCs w:val="22"/>
                <w:vertAlign w:val="superscript"/>
              </w:rPr>
              <w:t>th</w:t>
            </w:r>
            <w:r w:rsidRPr="009E7456">
              <w:rPr>
                <w:rFonts w:ascii="Times New Roman" w:hAnsi="Times New Roman"/>
                <w:sz w:val="22"/>
                <w:szCs w:val="22"/>
              </w:rPr>
              <w:t xml:space="preserve"> 2023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46E976A" w:rsidR="00403B25" w:rsidRPr="009E7456" w:rsidRDefault="005F3CFA" w:rsidP="00403B25">
            <w:pPr>
              <w:rPr>
                <w:rFonts w:ascii="Times New Roman" w:hAnsi="Times New Roman"/>
                <w:sz w:val="22"/>
                <w:szCs w:val="22"/>
              </w:rPr>
            </w:pPr>
            <w:r w:rsidRPr="009E7456">
              <w:rPr>
                <w:rFonts w:ascii="Times New Roman" w:hAnsi="Times New Roman"/>
                <w:sz w:val="22"/>
                <w:szCs w:val="22"/>
              </w:rPr>
              <w:t>December 1</w:t>
            </w:r>
            <w:r w:rsidRPr="009E7456">
              <w:rPr>
                <w:rFonts w:ascii="Times New Roman" w:hAnsi="Times New Roman"/>
                <w:sz w:val="22"/>
                <w:szCs w:val="22"/>
                <w:vertAlign w:val="superscript"/>
              </w:rPr>
              <w:t>st</w:t>
            </w:r>
            <w:r w:rsidRPr="009E7456">
              <w:rPr>
                <w:rFonts w:ascii="Times New Roman" w:hAnsi="Times New Roman"/>
                <w:sz w:val="22"/>
                <w:szCs w:val="22"/>
              </w:rPr>
              <w:t xml:space="preserve"> 2023</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04C7BFC" w:rsidR="00403B25" w:rsidRPr="00E82463" w:rsidRDefault="005F3CFA" w:rsidP="0012084F">
            <w:pPr>
              <w:rPr>
                <w:rFonts w:ascii="Times New Roman" w:hAnsi="Times New Roman"/>
                <w:sz w:val="22"/>
              </w:rPr>
            </w:pPr>
            <w:r>
              <w:rPr>
                <w:rFonts w:ascii="Times New Roman" w:hAnsi="Times New Roman"/>
                <w:sz w:val="22"/>
              </w:rPr>
              <w:t>December 11</w:t>
            </w:r>
            <w:r w:rsidRPr="005F3CFA">
              <w:rPr>
                <w:rFonts w:ascii="Times New Roman" w:hAnsi="Times New Roman"/>
                <w:sz w:val="22"/>
                <w:vertAlign w:val="superscript"/>
              </w:rPr>
              <w:t>th</w:t>
            </w:r>
            <w:r>
              <w:rPr>
                <w:rFonts w:ascii="Times New Roman" w:hAnsi="Times New Roman"/>
                <w:sz w:val="22"/>
              </w:rPr>
              <w:t xml:space="preserve"> 2023 </w:t>
            </w:r>
          </w:p>
        </w:tc>
        <w:tc>
          <w:tcPr>
            <w:tcW w:w="2268" w:type="dxa"/>
          </w:tcPr>
          <w:p w14:paraId="24FA29BB" w14:textId="1FB5F4DE" w:rsidR="00403B25" w:rsidRPr="00E82463" w:rsidRDefault="005F3CFA" w:rsidP="00403B25">
            <w:pPr>
              <w:jc w:val="center"/>
              <w:rPr>
                <w:rFonts w:ascii="Times New Roman" w:hAnsi="Times New Roman"/>
                <w:sz w:val="22"/>
              </w:rPr>
            </w:pPr>
            <w:r>
              <w:rPr>
                <w:rFonts w:ascii="Times New Roman" w:hAnsi="Times New Roman"/>
                <w:sz w:val="22"/>
              </w:rPr>
              <w:t>10</w:t>
            </w:r>
            <w:r w:rsidR="009E7456">
              <w:rPr>
                <w:rFonts w:ascii="Times New Roman" w:hAnsi="Times New Roman"/>
                <w:sz w:val="22"/>
              </w:rPr>
              <w:t xml:space="preserve">.00 </w:t>
            </w:r>
            <w:r>
              <w:rPr>
                <w:rFonts w:ascii="Times New Roman" w:hAnsi="Times New Roman"/>
                <w:sz w:val="22"/>
              </w:rPr>
              <w:t>CET</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91D441D" w:rsidR="00403B25" w:rsidRPr="00E82463" w:rsidRDefault="009E7456" w:rsidP="0012084F">
            <w:pPr>
              <w:rPr>
                <w:rFonts w:ascii="Times New Roman" w:hAnsi="Times New Roman"/>
                <w:sz w:val="22"/>
              </w:rPr>
            </w:pPr>
            <w:r>
              <w:rPr>
                <w:rFonts w:ascii="Times New Roman" w:hAnsi="Times New Roman"/>
                <w:sz w:val="22"/>
              </w:rPr>
              <w:t>December 11</w:t>
            </w:r>
            <w:r w:rsidRPr="009E7456">
              <w:rPr>
                <w:rFonts w:ascii="Times New Roman" w:hAnsi="Times New Roman"/>
                <w:sz w:val="22"/>
                <w:vertAlign w:val="superscript"/>
              </w:rPr>
              <w:t>th</w:t>
            </w:r>
            <w:r>
              <w:rPr>
                <w:rFonts w:ascii="Times New Roman" w:hAnsi="Times New Roman"/>
                <w:sz w:val="22"/>
              </w:rPr>
              <w:t xml:space="preserve"> 2023</w:t>
            </w:r>
          </w:p>
        </w:tc>
        <w:tc>
          <w:tcPr>
            <w:tcW w:w="2268" w:type="dxa"/>
          </w:tcPr>
          <w:p w14:paraId="4A5D8A55" w14:textId="6C55CD22" w:rsidR="00403B25" w:rsidRPr="00E82463" w:rsidRDefault="009E7456">
            <w:pPr>
              <w:jc w:val="center"/>
              <w:rPr>
                <w:rFonts w:ascii="Times New Roman" w:hAnsi="Times New Roman"/>
                <w:sz w:val="22"/>
              </w:rPr>
            </w:pPr>
            <w:r>
              <w:rPr>
                <w:rFonts w:ascii="Times New Roman" w:hAnsi="Times New Roman"/>
                <w:sz w:val="22"/>
              </w:rPr>
              <w:t>11.00 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55F41400" w:rsidR="00403B25" w:rsidRPr="00E82463" w:rsidRDefault="009E7456" w:rsidP="00403B25">
            <w:pPr>
              <w:tabs>
                <w:tab w:val="left" w:pos="851"/>
              </w:tabs>
              <w:rPr>
                <w:rFonts w:ascii="Times New Roman" w:hAnsi="Times New Roman"/>
                <w:sz w:val="22"/>
              </w:rPr>
            </w:pPr>
            <w:r>
              <w:rPr>
                <w:rFonts w:ascii="Times New Roman" w:hAnsi="Times New Roman"/>
                <w:sz w:val="22"/>
              </w:rPr>
              <w:t>December 12</w:t>
            </w:r>
            <w:r w:rsidRPr="009E7456">
              <w:rPr>
                <w:rFonts w:ascii="Times New Roman" w:hAnsi="Times New Roman"/>
                <w:sz w:val="22"/>
                <w:vertAlign w:val="superscript"/>
              </w:rPr>
              <w:t>th</w:t>
            </w:r>
            <w:r>
              <w:rPr>
                <w:rFonts w:ascii="Times New Roman" w:hAnsi="Times New Roman"/>
                <w:sz w:val="22"/>
              </w:rPr>
              <w:t xml:space="preserve"> 2023</w:t>
            </w:r>
            <w:r>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554F78A" w:rsidR="00403B25" w:rsidRPr="00E82463" w:rsidRDefault="009E7456" w:rsidP="009E7456">
            <w:pPr>
              <w:tabs>
                <w:tab w:val="left" w:pos="851"/>
              </w:tabs>
              <w:rPr>
                <w:rFonts w:ascii="Times New Roman" w:hAnsi="Times New Roman"/>
                <w:sz w:val="22"/>
              </w:rPr>
            </w:pPr>
            <w:r>
              <w:rPr>
                <w:rFonts w:ascii="Times New Roman" w:hAnsi="Times New Roman"/>
                <w:sz w:val="22"/>
              </w:rPr>
              <w:t>December 15</w:t>
            </w:r>
            <w:r w:rsidRPr="009E7456">
              <w:rPr>
                <w:rFonts w:ascii="Times New Roman" w:hAnsi="Times New Roman"/>
                <w:sz w:val="22"/>
                <w:vertAlign w:val="superscript"/>
              </w:rPr>
              <w:t>th</w:t>
            </w:r>
            <w:r>
              <w:rPr>
                <w:rFonts w:ascii="Times New Roman" w:hAnsi="Times New Roman"/>
                <w:sz w:val="22"/>
              </w:rPr>
              <w:t xml:space="preserve"> 2023</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35791BB0" w:rsidR="0047783A" w:rsidRPr="00345595" w:rsidRDefault="00502B15" w:rsidP="00070A30">
      <w:pPr>
        <w:pStyle w:val="Heading2"/>
        <w:tabs>
          <w:tab w:val="num" w:pos="709"/>
          <w:tab w:val="left" w:pos="792"/>
          <w:tab w:val="left" w:pos="8080"/>
        </w:tabs>
        <w:ind w:left="567" w:hanging="567"/>
        <w:jc w:val="both"/>
        <w:rPr>
          <w:rFonts w:ascii="Times New Roman" w:hAnsi="Times New Roman"/>
          <w:b/>
          <w:sz w:val="28"/>
          <w:szCs w:val="28"/>
          <w:lang w:val="en-GB"/>
        </w:rPr>
      </w:pPr>
      <w:r>
        <w:rPr>
          <w:rFonts w:ascii="Times New Roman" w:hAnsi="Times New Roman"/>
          <w:sz w:val="22"/>
          <w:szCs w:val="22"/>
          <w:lang w:val="en-GB"/>
        </w:rPr>
        <w:tab/>
      </w:r>
      <w:bookmarkStart w:id="7" w:name="_Toc42488073"/>
      <w:r w:rsidR="00A633C6" w:rsidRPr="00345595">
        <w:rPr>
          <w:rFonts w:ascii="Times New Roman" w:hAnsi="Times New Roman"/>
          <w:b/>
          <w:sz w:val="28"/>
          <w:szCs w:val="28"/>
          <w:lang w:val="en-GB"/>
        </w:rPr>
        <w:t xml:space="preserve">4. </w:t>
      </w:r>
      <w:r w:rsidR="0047783A" w:rsidRPr="00345595">
        <w:rPr>
          <w:rFonts w:ascii="Times New Roman" w:hAnsi="Times New Roman"/>
          <w:b/>
          <w:sz w:val="28"/>
          <w:szCs w:val="28"/>
          <w:lang w:val="en-GB"/>
        </w:rPr>
        <w:t>Origin</w:t>
      </w:r>
      <w:bookmarkEnd w:id="7"/>
    </w:p>
    <w:p w14:paraId="0228008A" w14:textId="556028AF" w:rsidR="00345595" w:rsidRPr="00345595" w:rsidRDefault="00345595" w:rsidP="00345595">
      <w:r w:rsidRPr="008D343C">
        <w:rPr>
          <w:rFonts w:ascii="Times New Roman" w:hAnsi="Times New Roman"/>
          <w:sz w:val="22"/>
          <w:szCs w:val="22"/>
          <w:lang w:val="en-US"/>
        </w:rPr>
        <w:t>Goods and materials supplied under a procurement or a grant contract, financed under the INTERREG IPA Romania-Serbia Programme are fully untied and can originate in any country. All supplies and materials are fully untied and no verification of origin is required.</w:t>
      </w:r>
    </w:p>
    <w:p w14:paraId="60C6066D" w14:textId="63314A8D" w:rsidR="0047783A" w:rsidRPr="001A2BC4" w:rsidRDefault="00A633C6" w:rsidP="009956B4">
      <w:pPr>
        <w:pStyle w:val="Heading1"/>
        <w:rPr>
          <w:lang w:val="en-GB"/>
        </w:rPr>
      </w:pPr>
      <w:bookmarkStart w:id="8" w:name="_Toc42488074"/>
      <w:r>
        <w:rPr>
          <w:lang w:val="en-GB"/>
        </w:rPr>
        <w:lastRenderedPageBreak/>
        <w:t xml:space="preserve">5. </w:t>
      </w:r>
      <w:r w:rsidR="00BA2D4C" w:rsidRPr="001A2BC4">
        <w:rPr>
          <w:lang w:val="en-GB"/>
        </w:rPr>
        <w:t>T</w:t>
      </w:r>
      <w:r w:rsidR="0047783A" w:rsidRPr="001A2BC4">
        <w:rPr>
          <w:lang w:val="en-GB"/>
        </w:rPr>
        <w:t>ype of contract</w:t>
      </w:r>
      <w:bookmarkEnd w:id="8"/>
    </w:p>
    <w:p w14:paraId="27F17544" w14:textId="4BCAA6F9" w:rsidR="0047783A" w:rsidRPr="00E82463" w:rsidRDefault="00A2701B" w:rsidP="0047783A">
      <w:pPr>
        <w:pStyle w:val="Heading2"/>
        <w:keepNext w:val="0"/>
        <w:ind w:left="567"/>
        <w:jc w:val="both"/>
        <w:rPr>
          <w:rFonts w:ascii="Times New Roman" w:hAnsi="Times New Roman"/>
          <w:sz w:val="22"/>
          <w:lang w:val="en-GB"/>
        </w:rPr>
      </w:pPr>
      <w:r w:rsidRPr="00EA3530">
        <w:rPr>
          <w:rFonts w:ascii="Times New Roman" w:hAnsi="Times New Roman"/>
          <w:sz w:val="22"/>
          <w:lang w:val="en-GB"/>
        </w:rPr>
        <w:t>U</w:t>
      </w:r>
      <w:r w:rsidR="0047783A" w:rsidRPr="00EA3530">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16FC077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73F9">
        <w:rPr>
          <w:rFonts w:ascii="Times New Roman" w:hAnsi="Times New Roman"/>
          <w:sz w:val="22"/>
          <w:szCs w:val="22"/>
          <w:lang w:val="en-GB"/>
        </w:rPr>
        <w:t>RSD</w:t>
      </w:r>
      <w:r w:rsidR="00FB73F9">
        <w:rPr>
          <w:rFonts w:ascii="Times New Roman" w:hAnsi="Times New Roman"/>
          <w:sz w:val="22"/>
          <w:szCs w:val="22"/>
          <w:vertAlign w:val="superscript"/>
          <w:lang w:val="en-GB"/>
        </w:rPr>
        <w:t>3</w:t>
      </w:r>
      <w:r w:rsidR="00FB73F9">
        <w:rPr>
          <w:rFonts w:ascii="Times New Roman" w:hAnsi="Times New Roman"/>
          <w:bCs/>
          <w:sz w:val="22"/>
          <w:szCs w:val="22"/>
          <w:lang w:val="en-GB"/>
        </w:rPr>
        <w:t>.</w:t>
      </w:r>
    </w:p>
    <w:p w14:paraId="0AFF2F59" w14:textId="7977D93E" w:rsidR="0047783A"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5D61F48" w14:textId="1200F511" w:rsidR="00081AF8" w:rsidRPr="00081AF8" w:rsidRDefault="00081AF8" w:rsidP="00081AF8">
      <w:r>
        <w:t>N/A</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129CD3D1" w14:textId="10BE8EF5" w:rsidR="00D85561" w:rsidRDefault="00F953EB" w:rsidP="006E1DB1">
      <w:pPr>
        <w:pStyle w:val="Heading2"/>
        <w:keepNext w:val="0"/>
        <w:ind w:left="567" w:hanging="567"/>
        <w:jc w:val="both"/>
        <w:rPr>
          <w:rFonts w:ascii="Times New Roman" w:hAnsi="Times New Roman"/>
          <w:sz w:val="22"/>
          <w:lang w:val="en-GB"/>
        </w:rPr>
      </w:pPr>
      <w:bookmarkStart w:id="15" w:name="_Ref500326737"/>
      <w:r>
        <w:rPr>
          <w:rFonts w:ascii="Times New Roman" w:hAnsi="Times New Roman"/>
          <w:sz w:val="22"/>
          <w:lang w:val="en-GB"/>
        </w:rPr>
        <w:tab/>
      </w:r>
    </w:p>
    <w:p w14:paraId="6D76BC33" w14:textId="3C457433" w:rsidR="0047783A" w:rsidRPr="002E2ABC" w:rsidRDefault="0047783A" w:rsidP="009D5CB2">
      <w:pPr>
        <w:pStyle w:val="Heading2"/>
        <w:keepNext w:val="0"/>
        <w:ind w:left="567"/>
        <w:jc w:val="both"/>
        <w:rPr>
          <w:rFonts w:ascii="Times New Roman" w:hAnsi="Times New Roman"/>
          <w:sz w:val="22"/>
          <w:lang w:val="en-GB"/>
        </w:rPr>
      </w:pPr>
      <w:r w:rsidRPr="002E2ABC">
        <w:rPr>
          <w:rFonts w:ascii="Times New Roman" w:hAnsi="Times New Roman"/>
          <w:b/>
          <w:sz w:val="22"/>
          <w:lang w:val="en-GB"/>
        </w:rPr>
        <w:t>T</w:t>
      </w:r>
      <w:r w:rsidR="00803383" w:rsidRPr="002E2ABC">
        <w:rPr>
          <w:rFonts w:ascii="Times New Roman" w:hAnsi="Times New Roman"/>
          <w:b/>
          <w:sz w:val="22"/>
          <w:lang w:val="en-GB"/>
        </w:rPr>
        <w:t>enders must be sent to t</w:t>
      </w:r>
      <w:r w:rsidR="00D62067" w:rsidRPr="002E2ABC">
        <w:rPr>
          <w:rFonts w:ascii="Times New Roman" w:hAnsi="Times New Roman"/>
          <w:b/>
          <w:sz w:val="22"/>
          <w:lang w:val="en-GB"/>
        </w:rPr>
        <w:t xml:space="preserve">he </w:t>
      </w:r>
      <w:r w:rsidR="005C1201" w:rsidRPr="002E2ABC">
        <w:rPr>
          <w:rFonts w:ascii="Times New Roman" w:hAnsi="Times New Roman"/>
          <w:b/>
          <w:sz w:val="22"/>
          <w:lang w:val="en-GB"/>
        </w:rPr>
        <w:t>c</w:t>
      </w:r>
      <w:r w:rsidR="00D62067" w:rsidRPr="002E2ABC">
        <w:rPr>
          <w:rFonts w:ascii="Times New Roman" w:hAnsi="Times New Roman"/>
          <w:b/>
          <w:sz w:val="22"/>
          <w:lang w:val="en-GB"/>
        </w:rPr>
        <w:t xml:space="preserve">ontracting </w:t>
      </w:r>
      <w:r w:rsidR="005C1201" w:rsidRPr="002E2ABC">
        <w:rPr>
          <w:rFonts w:ascii="Times New Roman" w:hAnsi="Times New Roman"/>
          <w:b/>
          <w:sz w:val="22"/>
          <w:lang w:val="en-GB"/>
        </w:rPr>
        <w:t>a</w:t>
      </w:r>
      <w:r w:rsidR="00D62067" w:rsidRPr="002E2ABC">
        <w:rPr>
          <w:rFonts w:ascii="Times New Roman" w:hAnsi="Times New Roman"/>
          <w:b/>
          <w:sz w:val="22"/>
          <w:lang w:val="en-GB"/>
        </w:rPr>
        <w:t xml:space="preserve">uthority </w:t>
      </w:r>
      <w:r w:rsidRPr="002E2ABC">
        <w:rPr>
          <w:rFonts w:ascii="Times New Roman" w:hAnsi="Times New Roman"/>
          <w:b/>
          <w:sz w:val="22"/>
          <w:lang w:val="en-GB"/>
        </w:rPr>
        <w:t xml:space="preserve">before the deadline specified in </w:t>
      </w:r>
      <w:r w:rsidR="00587BC9" w:rsidRPr="002E2ABC">
        <w:rPr>
          <w:rFonts w:ascii="Times New Roman" w:hAnsi="Times New Roman"/>
          <w:b/>
          <w:sz w:val="22"/>
          <w:lang w:val="en-GB"/>
        </w:rPr>
        <w:t>Contract Notice</w:t>
      </w:r>
      <w:r w:rsidRPr="002E2ABC">
        <w:rPr>
          <w:rFonts w:ascii="Times New Roman" w:hAnsi="Times New Roman"/>
          <w:b/>
          <w:sz w:val="22"/>
          <w:lang w:val="en-GB"/>
        </w:rPr>
        <w:t>.</w:t>
      </w:r>
      <w:r w:rsidRPr="002E2ABC">
        <w:rPr>
          <w:rFonts w:ascii="Times New Roman" w:hAnsi="Times New Roman"/>
          <w:sz w:val="22"/>
          <w:lang w:val="en-GB"/>
        </w:rPr>
        <w:t xml:space="preserve"> They must include all the documents specified in point 11 of these Instructions and be sent to the following address:</w:t>
      </w:r>
    </w:p>
    <w:bookmarkEnd w:id="15"/>
    <w:p w14:paraId="72B76D70" w14:textId="6DF019C8" w:rsidR="003F2375" w:rsidRPr="002E2ABC" w:rsidRDefault="002E2ABC" w:rsidP="003F2375">
      <w:pPr>
        <w:pStyle w:val="Blockquote"/>
        <w:keepNext/>
        <w:keepLines/>
        <w:spacing w:before="120" w:after="120"/>
        <w:jc w:val="center"/>
        <w:rPr>
          <w:rFonts w:ascii="Times New Roman" w:hAnsi="Times New Roman"/>
        </w:rPr>
      </w:pPr>
      <w:r w:rsidRPr="002E2ABC">
        <w:rPr>
          <w:rFonts w:ascii="Times New Roman" w:hAnsi="Times New Roman"/>
        </w:rPr>
        <w:t>Ministry of European Integration</w:t>
      </w:r>
    </w:p>
    <w:p w14:paraId="2F1A102F" w14:textId="07A24EE0" w:rsidR="002E2ABC" w:rsidRPr="002E2ABC" w:rsidRDefault="002E2ABC" w:rsidP="003F2375">
      <w:pPr>
        <w:pStyle w:val="Blockquote"/>
        <w:keepNext/>
        <w:keepLines/>
        <w:spacing w:before="120" w:after="120"/>
        <w:jc w:val="center"/>
        <w:rPr>
          <w:rFonts w:ascii="Times New Roman" w:hAnsi="Times New Roman"/>
        </w:rPr>
      </w:pPr>
      <w:r w:rsidRPr="002E2ABC">
        <w:rPr>
          <w:rFonts w:ascii="Times New Roman" w:hAnsi="Times New Roman"/>
        </w:rPr>
        <w:t>Nemanjina 34, 11000 Belgrade</w:t>
      </w:r>
    </w:p>
    <w:p w14:paraId="78B8AAF5" w14:textId="3F34603E" w:rsidR="002E2ABC" w:rsidRPr="002E2ABC" w:rsidRDefault="002E2ABC" w:rsidP="003F2375">
      <w:pPr>
        <w:pStyle w:val="Blockquote"/>
        <w:keepNext/>
        <w:keepLines/>
        <w:spacing w:before="120" w:after="120"/>
        <w:jc w:val="center"/>
        <w:rPr>
          <w:rFonts w:ascii="Times New Roman" w:hAnsi="Times New Roman"/>
        </w:rPr>
      </w:pPr>
      <w:r w:rsidRPr="002E2ABC">
        <w:rPr>
          <w:rFonts w:ascii="Times New Roman" w:hAnsi="Times New Roman"/>
        </w:rPr>
        <w:t>III Floor, Office No.7</w:t>
      </w:r>
    </w:p>
    <w:p w14:paraId="575D0F9A" w14:textId="2F4BD8D7" w:rsidR="002E2ABC" w:rsidRPr="002E2ABC" w:rsidRDefault="002E2ABC" w:rsidP="003F2375">
      <w:pPr>
        <w:pStyle w:val="Blockquote"/>
        <w:keepNext/>
        <w:keepLines/>
        <w:spacing w:before="120" w:after="120"/>
        <w:jc w:val="center"/>
        <w:rPr>
          <w:rFonts w:ascii="Times New Roman" w:hAnsi="Times New Roman"/>
        </w:rPr>
      </w:pPr>
      <w:r w:rsidRPr="002E2ABC">
        <w:rPr>
          <w:rFonts w:ascii="Times New Roman" w:hAnsi="Times New Roman"/>
        </w:rPr>
        <w:t>Attn: Nata</w:t>
      </w:r>
      <w:r w:rsidRPr="002E2ABC">
        <w:rPr>
          <w:rFonts w:ascii="Times New Roman" w:hAnsi="Times New Roman"/>
          <w:lang w:val="sr-Latn-RS"/>
        </w:rPr>
        <w:t>ša Milosavljević Žeželj</w:t>
      </w:r>
      <w:r w:rsidRPr="002E2ABC">
        <w:rPr>
          <w:rFonts w:ascii="Times New Roman" w:hAnsi="Times New Roman"/>
        </w:rPr>
        <w:t xml:space="preserve"> </w:t>
      </w:r>
    </w:p>
    <w:p w14:paraId="5DFDEA99" w14:textId="77777777" w:rsidR="0047783A" w:rsidRPr="002E2ABC" w:rsidRDefault="0047783A" w:rsidP="000D1B17">
      <w:pPr>
        <w:ind w:left="567"/>
        <w:jc w:val="both"/>
        <w:rPr>
          <w:rFonts w:ascii="Times New Roman" w:hAnsi="Times New Roman"/>
          <w:sz w:val="22"/>
        </w:rPr>
      </w:pPr>
      <w:r w:rsidRPr="002E2ABC">
        <w:rPr>
          <w:rFonts w:ascii="Times New Roman" w:hAnsi="Times New Roman"/>
          <w:sz w:val="22"/>
        </w:rPr>
        <w:t>If the tenders are hand delivered they should be delivered to the following address:</w:t>
      </w:r>
    </w:p>
    <w:p w14:paraId="2DC9EC60" w14:textId="77777777" w:rsidR="002E2ABC" w:rsidRPr="002E2ABC" w:rsidRDefault="002E2ABC" w:rsidP="002E2ABC">
      <w:pPr>
        <w:pStyle w:val="Blockquote"/>
        <w:keepNext/>
        <w:keepLines/>
        <w:spacing w:before="120" w:after="120"/>
        <w:jc w:val="center"/>
        <w:rPr>
          <w:rFonts w:ascii="Times New Roman" w:hAnsi="Times New Roman"/>
        </w:rPr>
      </w:pPr>
      <w:r w:rsidRPr="002E2ABC">
        <w:rPr>
          <w:rFonts w:ascii="Times New Roman" w:hAnsi="Times New Roman"/>
        </w:rPr>
        <w:t>Ministry of European Integration</w:t>
      </w:r>
    </w:p>
    <w:p w14:paraId="367DF891" w14:textId="77777777" w:rsidR="002E2ABC" w:rsidRPr="002E2ABC" w:rsidRDefault="002E2ABC" w:rsidP="002E2ABC">
      <w:pPr>
        <w:pStyle w:val="Blockquote"/>
        <w:keepNext/>
        <w:keepLines/>
        <w:spacing w:before="120" w:after="120"/>
        <w:jc w:val="center"/>
        <w:rPr>
          <w:rFonts w:ascii="Times New Roman" w:hAnsi="Times New Roman"/>
        </w:rPr>
      </w:pPr>
      <w:r w:rsidRPr="002E2ABC">
        <w:rPr>
          <w:rFonts w:ascii="Times New Roman" w:hAnsi="Times New Roman"/>
        </w:rPr>
        <w:t>Nemanjina 34, 11000 Belgrade</w:t>
      </w:r>
    </w:p>
    <w:p w14:paraId="19B5966A" w14:textId="77777777" w:rsidR="002E2ABC" w:rsidRPr="002E2ABC" w:rsidRDefault="002E2ABC" w:rsidP="002E2ABC">
      <w:pPr>
        <w:pStyle w:val="Blockquote"/>
        <w:keepNext/>
        <w:keepLines/>
        <w:spacing w:before="120" w:after="120"/>
        <w:jc w:val="center"/>
        <w:rPr>
          <w:rFonts w:ascii="Times New Roman" w:hAnsi="Times New Roman"/>
        </w:rPr>
      </w:pPr>
      <w:r w:rsidRPr="002E2ABC">
        <w:rPr>
          <w:rFonts w:ascii="Times New Roman" w:hAnsi="Times New Roman"/>
        </w:rPr>
        <w:t>III Floor, Office No.7</w:t>
      </w:r>
    </w:p>
    <w:p w14:paraId="66581BC6" w14:textId="60D55FCE" w:rsidR="002E2ABC" w:rsidRDefault="002E2ABC" w:rsidP="002E2ABC">
      <w:pPr>
        <w:pStyle w:val="Blockquote"/>
        <w:keepNext/>
        <w:keepLines/>
        <w:spacing w:before="120" w:after="120"/>
        <w:jc w:val="center"/>
        <w:rPr>
          <w:rFonts w:ascii="Times New Roman" w:hAnsi="Times New Roman"/>
        </w:rPr>
      </w:pPr>
      <w:r w:rsidRPr="002E2ABC">
        <w:rPr>
          <w:rFonts w:ascii="Times New Roman" w:hAnsi="Times New Roman"/>
        </w:rPr>
        <w:t>Attn: Nata</w:t>
      </w:r>
      <w:r w:rsidRPr="002E2ABC">
        <w:rPr>
          <w:rFonts w:ascii="Times New Roman" w:hAnsi="Times New Roman"/>
          <w:lang w:val="sr-Latn-RS"/>
        </w:rPr>
        <w:t>ša Milosavljević Žeželj</w:t>
      </w:r>
      <w:r w:rsidRPr="002E2ABC">
        <w:rPr>
          <w:rFonts w:ascii="Times New Roman" w:hAnsi="Times New Roman"/>
        </w:rPr>
        <w:t xml:space="preserve"> </w:t>
      </w:r>
    </w:p>
    <w:p w14:paraId="74C94CE8" w14:textId="0BEA7006" w:rsidR="00BA482E" w:rsidRPr="002E2ABC" w:rsidRDefault="00BA482E" w:rsidP="002E2ABC">
      <w:pPr>
        <w:pStyle w:val="Blockquote"/>
        <w:keepNext/>
        <w:keepLines/>
        <w:spacing w:before="120" w:after="120"/>
        <w:jc w:val="center"/>
        <w:rPr>
          <w:rFonts w:ascii="Times New Roman" w:hAnsi="Times New Roman"/>
        </w:rPr>
      </w:pPr>
      <w:r>
        <w:rPr>
          <w:rFonts w:ascii="Times New Roman" w:hAnsi="Times New Roman"/>
        </w:rPr>
        <w:t>Working hours: 07.30-15.30</w:t>
      </w:r>
    </w:p>
    <w:p w14:paraId="11BE2DE8" w14:textId="77777777" w:rsidR="00172E10" w:rsidRDefault="0047783A" w:rsidP="00172E10">
      <w:pPr>
        <w:ind w:left="567"/>
        <w:jc w:val="both"/>
        <w:rPr>
          <w:rFonts w:ascii="Times New Roman" w:hAnsi="Times New Roman"/>
          <w:sz w:val="22"/>
        </w:rPr>
      </w:pPr>
      <w:r w:rsidRPr="002E2ABC">
        <w:rPr>
          <w:rFonts w:ascii="Times New Roman" w:hAnsi="Times New Roman"/>
          <w:sz w:val="22"/>
        </w:rPr>
        <w:t>Tenders must comply with the following conditions:</w:t>
      </w:r>
      <w:bookmarkStart w:id="16" w:name="_Ref500330141"/>
    </w:p>
    <w:p w14:paraId="73CF2FF8" w14:textId="77777777" w:rsidR="00172E10" w:rsidRDefault="0047783A" w:rsidP="00172E10">
      <w:pPr>
        <w:ind w:left="567"/>
        <w:jc w:val="both"/>
        <w:rPr>
          <w:rFonts w:ascii="Times New Roman" w:hAnsi="Times New Roman"/>
          <w:sz w:val="22"/>
        </w:rPr>
      </w:pPr>
      <w:r w:rsidRPr="00E82463">
        <w:rPr>
          <w:rFonts w:ascii="Times New Roman" w:hAnsi="Times New Roman"/>
          <w:sz w:val="22"/>
        </w:rPr>
        <w:t>10.</w:t>
      </w:r>
      <w:r w:rsidR="00F953EB">
        <w:rPr>
          <w:rFonts w:ascii="Times New Roman" w:hAnsi="Times New Roman"/>
          <w:sz w:val="22"/>
        </w:rPr>
        <w:t>2</w:t>
      </w:r>
      <w:r w:rsidRPr="00E82463">
        <w:rPr>
          <w:rFonts w:ascii="Times New Roman" w:hAnsi="Times New Roman"/>
          <w:sz w:val="22"/>
        </w:rPr>
        <w:tab/>
      </w:r>
      <w:r w:rsidRPr="00172E10">
        <w:rPr>
          <w:rFonts w:ascii="Times New Roman" w:hAnsi="Times New Roman"/>
          <w:sz w:val="22"/>
        </w:rPr>
        <w:t xml:space="preserve">All tenders must be submitted in one original, marked </w:t>
      </w:r>
      <w:r w:rsidR="006A5F84" w:rsidRPr="00172E10">
        <w:rPr>
          <w:rFonts w:ascii="Times New Roman" w:hAnsi="Times New Roman"/>
          <w:sz w:val="22"/>
        </w:rPr>
        <w:t>‘</w:t>
      </w:r>
      <w:r w:rsidRPr="00172E10">
        <w:rPr>
          <w:rFonts w:ascii="Times New Roman" w:hAnsi="Times New Roman"/>
          <w:sz w:val="22"/>
        </w:rPr>
        <w:t>original</w:t>
      </w:r>
      <w:r w:rsidR="006A5F84" w:rsidRPr="00172E10">
        <w:rPr>
          <w:rFonts w:ascii="Times New Roman" w:hAnsi="Times New Roman"/>
          <w:sz w:val="22"/>
        </w:rPr>
        <w:t>’</w:t>
      </w:r>
      <w:r w:rsidRPr="00172E10">
        <w:rPr>
          <w:rFonts w:ascii="Times New Roman" w:hAnsi="Times New Roman"/>
          <w:sz w:val="22"/>
        </w:rPr>
        <w:t xml:space="preserve">, and </w:t>
      </w:r>
      <w:r w:rsidR="00172E10" w:rsidRPr="00172E10">
        <w:rPr>
          <w:rFonts w:ascii="Times New Roman" w:hAnsi="Times New Roman"/>
          <w:sz w:val="22"/>
        </w:rPr>
        <w:t xml:space="preserve">1 copy </w:t>
      </w:r>
      <w:r w:rsidRPr="00172E10">
        <w:rPr>
          <w:rFonts w:ascii="Times New Roman" w:hAnsi="Times New Roman"/>
          <w:sz w:val="22"/>
        </w:rPr>
        <w:t xml:space="preserve">copies signed in the same way as the original and marked </w:t>
      </w:r>
      <w:r w:rsidR="006A5F84" w:rsidRPr="00172E10">
        <w:rPr>
          <w:rFonts w:ascii="Times New Roman" w:hAnsi="Times New Roman"/>
          <w:sz w:val="22"/>
        </w:rPr>
        <w:t>‘</w:t>
      </w:r>
      <w:r w:rsidRPr="00172E10">
        <w:rPr>
          <w:rFonts w:ascii="Times New Roman" w:hAnsi="Times New Roman"/>
          <w:sz w:val="22"/>
        </w:rPr>
        <w:t>copy</w:t>
      </w:r>
      <w:r w:rsidR="006A5F84" w:rsidRPr="00172E10">
        <w:rPr>
          <w:rFonts w:ascii="Times New Roman" w:hAnsi="Times New Roman"/>
          <w:sz w:val="22"/>
        </w:rPr>
        <w:t>’</w:t>
      </w:r>
      <w:r w:rsidR="00172E10">
        <w:rPr>
          <w:rFonts w:ascii="Times New Roman" w:hAnsi="Times New Roman"/>
          <w:sz w:val="22"/>
        </w:rPr>
        <w:t>.</w:t>
      </w:r>
      <w:bookmarkEnd w:id="16"/>
    </w:p>
    <w:p w14:paraId="352DA361" w14:textId="77777777" w:rsidR="00172E10" w:rsidRDefault="0047783A" w:rsidP="00172E10">
      <w:pPr>
        <w:ind w:left="567"/>
        <w:jc w:val="both"/>
        <w:rPr>
          <w:rFonts w:ascii="Times New Roman" w:hAnsi="Times New Roman"/>
          <w:sz w:val="22"/>
        </w:rPr>
      </w:pPr>
      <w:r w:rsidRPr="00E82463">
        <w:rPr>
          <w:rFonts w:ascii="Times New Roman" w:hAnsi="Times New Roman"/>
          <w:sz w:val="22"/>
        </w:rPr>
        <w:lastRenderedPageBreak/>
        <w:t>10.</w:t>
      </w:r>
      <w:r w:rsidR="00F953EB">
        <w:rPr>
          <w:rFonts w:ascii="Times New Roman" w:hAnsi="Times New Roman"/>
          <w:sz w:val="22"/>
        </w:rPr>
        <w:t>3</w:t>
      </w:r>
      <w:r w:rsidRPr="00E82463">
        <w:rPr>
          <w:rFonts w:ascii="Times New Roman" w:hAnsi="Times New Roman"/>
          <w:sz w:val="22"/>
        </w:rPr>
        <w:tab/>
      </w:r>
      <w:r w:rsidR="003F2375" w:rsidRPr="00172E10">
        <w:rPr>
          <w:rFonts w:ascii="Times New Roman" w:hAnsi="Times New Roman"/>
          <w:sz w:val="22"/>
        </w:rPr>
        <w:t>The tenders should be submitted:</w:t>
      </w:r>
    </w:p>
    <w:p w14:paraId="609F8BF7" w14:textId="77777777" w:rsidR="00172E10" w:rsidRPr="00857B4C" w:rsidRDefault="0086759F" w:rsidP="00172E10">
      <w:pPr>
        <w:ind w:left="567"/>
        <w:jc w:val="both"/>
        <w:rPr>
          <w:rFonts w:ascii="Times New Roman" w:hAnsi="Times New Roman"/>
          <w:sz w:val="22"/>
        </w:rPr>
      </w:pPr>
      <w:r>
        <w:rPr>
          <w:rFonts w:ascii="Times New Roman" w:hAnsi="Times New Roman"/>
          <w:sz w:val="22"/>
        </w:rPr>
        <w:tab/>
      </w:r>
      <w:r w:rsidRPr="00857B4C">
        <w:rPr>
          <w:rFonts w:ascii="Times New Roman" w:hAnsi="Times New Roman"/>
          <w:sz w:val="22"/>
        </w:rPr>
        <w:t>(a) either by post or by courier service, in which case the evidence shall be constituted by the postmark or the date of the deposit slip</w:t>
      </w:r>
      <w:r w:rsidR="00803383" w:rsidRPr="00857B4C">
        <w:rPr>
          <w:rStyle w:val="FootnoteReference"/>
          <w:rFonts w:ascii="Times New Roman" w:hAnsi="Times New Roman"/>
          <w:sz w:val="22"/>
          <w:szCs w:val="22"/>
          <w:lang w:val="en-US"/>
        </w:rPr>
        <w:footnoteReference w:id="3"/>
      </w:r>
    </w:p>
    <w:p w14:paraId="3D364392" w14:textId="069015C3" w:rsidR="0086759F" w:rsidRPr="00857B4C" w:rsidRDefault="0086759F" w:rsidP="00172E10">
      <w:pPr>
        <w:ind w:left="567"/>
        <w:jc w:val="both"/>
        <w:rPr>
          <w:rFonts w:ascii="Times New Roman" w:hAnsi="Times New Roman"/>
          <w:sz w:val="22"/>
        </w:rPr>
      </w:pPr>
      <w:r w:rsidRPr="00857B4C">
        <w:rPr>
          <w:rFonts w:ascii="Times New Roman" w:hAnsi="Times New Roman"/>
          <w:sz w:val="22"/>
        </w:rPr>
        <w:tab/>
        <w:t xml:space="preserve">(b) </w:t>
      </w:r>
      <w:r w:rsidR="00740F25" w:rsidRPr="00857B4C">
        <w:rPr>
          <w:rFonts w:ascii="Times New Roman" w:hAnsi="Times New Roman"/>
          <w:sz w:val="22"/>
        </w:rPr>
        <w:t xml:space="preserve">or </w:t>
      </w:r>
      <w:r w:rsidRPr="00857B4C">
        <w:rPr>
          <w:rFonts w:ascii="Times New Roman" w:hAnsi="Times New Roman"/>
          <w:sz w:val="22"/>
        </w:rPr>
        <w:t xml:space="preserve">by hand-delivery to the premises of the </w:t>
      </w:r>
      <w:r w:rsidR="006E4A76" w:rsidRPr="00857B4C">
        <w:rPr>
          <w:rFonts w:ascii="Times New Roman" w:hAnsi="Times New Roman"/>
          <w:sz w:val="22"/>
        </w:rPr>
        <w:t>contracting authority</w:t>
      </w:r>
      <w:r w:rsidRPr="00857B4C">
        <w:rPr>
          <w:rFonts w:ascii="Times New Roman" w:hAnsi="Times New Roman"/>
          <w:sz w:val="22"/>
        </w:rPr>
        <w:t xml:space="preserve"> by the participant in person or by an agent, in which case the evidence shall be constituted by </w:t>
      </w:r>
      <w:r w:rsidR="006E4A76" w:rsidRPr="00857B4C">
        <w:rPr>
          <w:rFonts w:ascii="Times New Roman" w:hAnsi="Times New Roman"/>
          <w:sz w:val="22"/>
        </w:rPr>
        <w:t xml:space="preserve">the </w:t>
      </w:r>
      <w:r w:rsidRPr="00857B4C">
        <w:rPr>
          <w:rFonts w:ascii="Times New Roman" w:hAnsi="Times New Roman"/>
          <w:sz w:val="22"/>
        </w:rPr>
        <w:t>acknowledgment of receipt.</w:t>
      </w:r>
      <w:r w:rsidR="0047783A" w:rsidRPr="00857B4C">
        <w:rPr>
          <w:rFonts w:ascii="Times New Roman" w:hAnsi="Times New Roman"/>
          <w:sz w:val="22"/>
        </w:rPr>
        <w:t xml:space="preserve"> </w:t>
      </w:r>
    </w:p>
    <w:p w14:paraId="65CB01B1" w14:textId="389307B7" w:rsidR="008B2A9C" w:rsidRPr="00857B4C" w:rsidRDefault="008B2A9C" w:rsidP="009956B4">
      <w:pPr>
        <w:pStyle w:val="Heading2"/>
        <w:keepNext w:val="0"/>
        <w:ind w:left="567"/>
        <w:jc w:val="both"/>
        <w:rPr>
          <w:rFonts w:ascii="Times New Roman" w:hAnsi="Times New Roman"/>
          <w:sz w:val="22"/>
          <w:lang w:val="en-IE"/>
        </w:rPr>
      </w:pPr>
      <w:r w:rsidRPr="00857B4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57B4C">
        <w:rPr>
          <w:rFonts w:ascii="Times New Roman" w:hAnsi="Times New Roman"/>
          <w:sz w:val="22"/>
          <w:lang w:val="en-GB"/>
        </w:rPr>
        <w:t xml:space="preserve"> </w:t>
      </w:r>
      <w:r w:rsidRPr="00857B4C">
        <w:rPr>
          <w:rFonts w:ascii="Times New Roman" w:hAnsi="Times New Roman"/>
          <w:sz w:val="22"/>
          <w:lang w:val="en-GB"/>
        </w:rPr>
        <w:t>or jeopardise decisions already taken and notified.</w:t>
      </w:r>
    </w:p>
    <w:p w14:paraId="380CD258" w14:textId="221C1B16" w:rsidR="0047783A" w:rsidRPr="00857B4C"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857B4C">
        <w:rPr>
          <w:rFonts w:ascii="Times New Roman" w:hAnsi="Times New Roman"/>
          <w:sz w:val="22"/>
          <w:lang w:val="en-GB"/>
        </w:rPr>
        <w:t>All tenders, including annexes and all supporting documents, must be submitted in a sealed envelope bearing only:</w:t>
      </w:r>
    </w:p>
    <w:p w14:paraId="5EEE5B26" w14:textId="4542DA70" w:rsidR="0047783A" w:rsidRPr="00857B4C" w:rsidRDefault="000662F8" w:rsidP="000662F8">
      <w:pPr>
        <w:pStyle w:val="Heading2"/>
        <w:keepNext w:val="0"/>
        <w:jc w:val="both"/>
        <w:rPr>
          <w:rFonts w:ascii="Times New Roman" w:hAnsi="Times New Roman"/>
          <w:sz w:val="22"/>
          <w:lang w:val="en-IE"/>
        </w:rPr>
      </w:pPr>
      <w:r>
        <w:rPr>
          <w:rFonts w:ascii="Times New Roman" w:hAnsi="Times New Roman"/>
          <w:sz w:val="22"/>
          <w:lang w:val="en-GB"/>
        </w:rPr>
        <w:t xml:space="preserve">         </w:t>
      </w:r>
      <w:r w:rsidR="0047783A" w:rsidRPr="00857B4C">
        <w:rPr>
          <w:rFonts w:ascii="Times New Roman" w:hAnsi="Times New Roman"/>
          <w:sz w:val="22"/>
          <w:lang w:val="en-GB"/>
        </w:rPr>
        <w:t>a)</w:t>
      </w:r>
      <w:r>
        <w:rPr>
          <w:rFonts w:ascii="Times New Roman" w:hAnsi="Times New Roman"/>
          <w:sz w:val="22"/>
          <w:lang w:val="en-GB"/>
        </w:rPr>
        <w:t xml:space="preserve"> </w:t>
      </w:r>
      <w:r w:rsidR="0047783A" w:rsidRPr="00857B4C">
        <w:rPr>
          <w:rFonts w:ascii="Times New Roman" w:hAnsi="Times New Roman"/>
          <w:sz w:val="22"/>
          <w:lang w:val="en-GB"/>
        </w:rPr>
        <w:tab/>
        <w:t>the above address;</w:t>
      </w:r>
    </w:p>
    <w:p w14:paraId="1C39B6B0" w14:textId="080AD745" w:rsidR="0047783A" w:rsidRPr="00857B4C" w:rsidRDefault="00857B4C" w:rsidP="00857B4C">
      <w:pPr>
        <w:ind w:left="709" w:hanging="349"/>
        <w:outlineLvl w:val="0"/>
        <w:rPr>
          <w:rFonts w:ascii="Times New Roman" w:hAnsi="Times New Roman"/>
          <w:sz w:val="22"/>
          <w:szCs w:val="22"/>
        </w:rPr>
      </w:pPr>
      <w:r>
        <w:rPr>
          <w:rFonts w:ascii="Times New Roman" w:hAnsi="Times New Roman"/>
          <w:sz w:val="22"/>
          <w:lang w:val="en-IE"/>
        </w:rPr>
        <w:t xml:space="preserve">   </w:t>
      </w:r>
      <w:r w:rsidR="0047783A" w:rsidRPr="00857B4C">
        <w:rPr>
          <w:rFonts w:ascii="Times New Roman" w:hAnsi="Times New Roman"/>
          <w:sz w:val="22"/>
        </w:rPr>
        <w:t>b)</w:t>
      </w:r>
      <w:r>
        <w:rPr>
          <w:rFonts w:ascii="Times New Roman" w:hAnsi="Times New Roman"/>
          <w:sz w:val="22"/>
        </w:rPr>
        <w:t xml:space="preserve">  </w:t>
      </w:r>
      <w:r w:rsidR="0047783A" w:rsidRPr="00857B4C">
        <w:rPr>
          <w:rFonts w:ascii="Times New Roman" w:hAnsi="Times New Roman"/>
          <w:sz w:val="22"/>
        </w:rPr>
        <w:tab/>
        <w:t>the reference code of this tender procedure, (i.e.</w:t>
      </w:r>
      <w:r w:rsidRPr="00857B4C">
        <w:rPr>
          <w:rFonts w:ascii="Times New Roman" w:hAnsi="Times New Roman"/>
          <w:sz w:val="22"/>
          <w:szCs w:val="22"/>
        </w:rPr>
        <w:t xml:space="preserve"> TAFANA/47207/1</w:t>
      </w:r>
      <w:r w:rsidR="0047783A" w:rsidRPr="000D1B17">
        <w:rPr>
          <w:rFonts w:ascii="Times New Roman" w:hAnsi="Times New Roman"/>
          <w:sz w:val="22"/>
        </w:rPr>
        <w:t>);</w:t>
      </w:r>
    </w:p>
    <w:p w14:paraId="555901BB" w14:textId="381AE16D" w:rsidR="000662F8" w:rsidRPr="000662F8" w:rsidRDefault="00857B4C" w:rsidP="000662F8">
      <w:pPr>
        <w:pStyle w:val="Heading2"/>
        <w:keepNext w:val="0"/>
        <w:ind w:left="1418" w:hanging="851"/>
        <w:jc w:val="both"/>
        <w:rPr>
          <w:rFonts w:ascii="Times New Roman" w:hAnsi="Times New Roman"/>
          <w:sz w:val="22"/>
          <w:lang w:val="sr-Cyrl-RS"/>
        </w:rPr>
      </w:pPr>
      <w:r w:rsidRPr="000662F8">
        <w:rPr>
          <w:rFonts w:ascii="Times New Roman" w:hAnsi="Times New Roman"/>
          <w:sz w:val="22"/>
          <w:lang w:val="en-GB"/>
        </w:rPr>
        <w:t>c)           the</w:t>
      </w:r>
      <w:r w:rsidR="0047783A" w:rsidRPr="000662F8">
        <w:rPr>
          <w:rFonts w:ascii="Times New Roman" w:hAnsi="Times New Roman"/>
          <w:sz w:val="22"/>
          <w:lang w:val="en-GB"/>
        </w:rPr>
        <w:t xml:space="preserve"> words </w:t>
      </w:r>
      <w:r w:rsidR="006A5F84" w:rsidRPr="000662F8">
        <w:rPr>
          <w:rFonts w:ascii="Times New Roman" w:hAnsi="Times New Roman"/>
          <w:b/>
          <w:sz w:val="22"/>
          <w:lang w:val="en-GB"/>
        </w:rPr>
        <w:t>‘</w:t>
      </w:r>
      <w:r w:rsidR="0047783A" w:rsidRPr="000662F8">
        <w:rPr>
          <w:rFonts w:ascii="Times New Roman" w:hAnsi="Times New Roman"/>
          <w:b/>
          <w:sz w:val="22"/>
          <w:lang w:val="en-GB"/>
        </w:rPr>
        <w:t>Not to be opened before the tender opening session</w:t>
      </w:r>
      <w:r w:rsidR="006A5F84" w:rsidRPr="000662F8">
        <w:rPr>
          <w:rFonts w:ascii="Times New Roman" w:hAnsi="Times New Roman"/>
          <w:sz w:val="22"/>
          <w:lang w:val="en-GB"/>
        </w:rPr>
        <w:t>’</w:t>
      </w:r>
      <w:r w:rsidR="0047783A" w:rsidRPr="000662F8">
        <w:rPr>
          <w:rFonts w:ascii="Times New Roman" w:hAnsi="Times New Roman"/>
          <w:sz w:val="22"/>
          <w:lang w:val="en-GB"/>
        </w:rPr>
        <w:t xml:space="preserve"> in the language of the tender dossier and</w:t>
      </w:r>
      <w:r w:rsidR="000662F8" w:rsidRPr="000662F8">
        <w:rPr>
          <w:rFonts w:ascii="Times New Roman" w:hAnsi="Times New Roman"/>
          <w:sz w:val="22"/>
          <w:lang w:val="en-IE"/>
        </w:rPr>
        <w:t xml:space="preserve"> </w:t>
      </w:r>
      <w:r w:rsidR="000662F8" w:rsidRPr="000662F8">
        <w:rPr>
          <w:rFonts w:ascii="Times New Roman" w:hAnsi="Times New Roman"/>
          <w:sz w:val="22"/>
          <w:lang w:val="sr-Cyrl-RS"/>
        </w:rPr>
        <w:t xml:space="preserve">„ </w:t>
      </w:r>
      <w:r w:rsidR="000662F8" w:rsidRPr="000662F8">
        <w:rPr>
          <w:rFonts w:ascii="Times New Roman" w:hAnsi="Times New Roman"/>
          <w:b/>
          <w:sz w:val="22"/>
          <w:lang w:val="sr-Cyrl-RS"/>
        </w:rPr>
        <w:t>Не отварати пре састанка за отварање понуда</w:t>
      </w:r>
      <w:r w:rsidR="000662F8" w:rsidRPr="000662F8">
        <w:rPr>
          <w:rFonts w:ascii="Times New Roman" w:hAnsi="Times New Roman"/>
          <w:sz w:val="22"/>
          <w:lang w:val="sr-Cyrl-RS"/>
        </w:rPr>
        <w:t>“</w:t>
      </w:r>
    </w:p>
    <w:p w14:paraId="579455BA" w14:textId="10E8FDB0" w:rsidR="0047783A" w:rsidRPr="000662F8" w:rsidRDefault="000662F8" w:rsidP="000662F8">
      <w:pPr>
        <w:pStyle w:val="Heading2"/>
        <w:keepNext w:val="0"/>
        <w:ind w:left="1418" w:hanging="851"/>
        <w:jc w:val="both"/>
        <w:rPr>
          <w:rFonts w:ascii="Times New Roman" w:hAnsi="Times New Roman"/>
          <w:sz w:val="22"/>
          <w:lang w:val="en-IE"/>
        </w:rPr>
      </w:pPr>
      <w:r w:rsidRPr="000662F8">
        <w:rPr>
          <w:rFonts w:ascii="Times New Roman" w:hAnsi="Times New Roman"/>
          <w:sz w:val="22"/>
          <w:lang w:val="en-GB"/>
        </w:rPr>
        <w:t>d</w:t>
      </w:r>
      <w:r w:rsidR="0047783A" w:rsidRPr="000662F8">
        <w:rPr>
          <w:rFonts w:ascii="Times New Roman" w:hAnsi="Times New Roman"/>
          <w:sz w:val="22"/>
          <w:lang w:val="en-GB"/>
        </w:rPr>
        <w:t>)</w:t>
      </w:r>
      <w:r w:rsidR="0047783A" w:rsidRPr="000662F8">
        <w:rPr>
          <w:rFonts w:ascii="Times New Roman" w:hAnsi="Times New Roman"/>
          <w:sz w:val="22"/>
          <w:lang w:val="en-GB"/>
        </w:rPr>
        <w:tab/>
        <w:t>the name of the tenderer.</w:t>
      </w:r>
    </w:p>
    <w:p w14:paraId="70A99683" w14:textId="27C2C4D7" w:rsidR="0047783A" w:rsidRPr="000662F8" w:rsidRDefault="0047783A" w:rsidP="009956B4">
      <w:pPr>
        <w:pStyle w:val="Heading2"/>
        <w:keepNext w:val="0"/>
        <w:ind w:left="567"/>
        <w:jc w:val="both"/>
        <w:rPr>
          <w:rFonts w:ascii="Times New Roman" w:hAnsi="Times New Roman"/>
          <w:sz w:val="22"/>
          <w:lang w:val="en-IE"/>
        </w:rPr>
      </w:pPr>
      <w:r w:rsidRPr="000662F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B9C3873" w14:textId="1A053C2D" w:rsidR="000D040A" w:rsidRPr="000D040A" w:rsidRDefault="000D040A" w:rsidP="000D040A">
      <w:pPr>
        <w:numPr>
          <w:ilvl w:val="1"/>
          <w:numId w:val="10"/>
        </w:numPr>
        <w:rPr>
          <w:rFonts w:ascii="Times New Roman" w:hAnsi="Times New Roman"/>
          <w:sz w:val="22"/>
          <w:szCs w:val="22"/>
        </w:rPr>
      </w:pPr>
      <w:r w:rsidRPr="000D040A">
        <w:rPr>
          <w:rFonts w:ascii="Times New Roman" w:hAnsi="Times New Roman"/>
          <w:b/>
          <w:sz w:val="22"/>
          <w:szCs w:val="22"/>
        </w:rPr>
        <w:t>a detailed description of the supplies</w:t>
      </w:r>
      <w:r w:rsidRPr="000D040A">
        <w:rPr>
          <w:rFonts w:ascii="Times New Roman" w:hAnsi="Times New Roman"/>
          <w:sz w:val="22"/>
          <w:szCs w:val="22"/>
        </w:rPr>
        <w:t xml:space="preserve"> tendered in conformity with the technical specifications, including any documentation required.</w:t>
      </w:r>
    </w:p>
    <w:p w14:paraId="63F5D5F5" w14:textId="3C37FBDD" w:rsidR="0047783A" w:rsidRPr="00E82463" w:rsidRDefault="000D040A" w:rsidP="000D040A">
      <w:pPr>
        <w:numPr>
          <w:ilvl w:val="1"/>
          <w:numId w:val="10"/>
        </w:numPr>
        <w:spacing w:after="0"/>
        <w:ind w:hanging="306"/>
        <w:rPr>
          <w:rFonts w:ascii="Times New Roman" w:hAnsi="Times New Roman"/>
          <w:sz w:val="22"/>
          <w:szCs w:val="22"/>
        </w:rPr>
      </w:pPr>
      <w:r w:rsidRPr="00E82463">
        <w:rPr>
          <w:rFonts w:ascii="Times New Roman" w:hAnsi="Times New Roman"/>
          <w:sz w:val="22"/>
          <w:szCs w:val="22"/>
        </w:rPr>
        <w:lastRenderedPageBreak/>
        <w:t xml:space="preserve"> </w:t>
      </w:r>
      <w:r w:rsidR="0047783A"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0047783A" w:rsidRPr="00E82463">
        <w:rPr>
          <w:rFonts w:ascii="Times New Roman" w:hAnsi="Times New Roman"/>
          <w:sz w:val="22"/>
          <w:szCs w:val="22"/>
        </w:rPr>
        <w:t xml:space="preserve">nnex II+III*, </w:t>
      </w:r>
      <w:r w:rsidR="000665DF" w:rsidRPr="00E82463">
        <w:rPr>
          <w:rFonts w:ascii="Times New Roman" w:hAnsi="Times New Roman"/>
          <w:sz w:val="22"/>
          <w:szCs w:val="22"/>
        </w:rPr>
        <w:t>C</w:t>
      </w:r>
      <w:r w:rsidR="0047783A"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0047783A"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0047783A"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E071B43" w14:textId="1CDF85EF" w:rsidR="006D3F6F" w:rsidRDefault="006D3F6F" w:rsidP="006D3F6F">
      <w:pPr>
        <w:pStyle w:val="Heading2"/>
        <w:keepNext w:val="0"/>
        <w:numPr>
          <w:ilvl w:val="0"/>
          <w:numId w:val="10"/>
        </w:numPr>
        <w:tabs>
          <w:tab w:val="num" w:pos="1134"/>
        </w:tabs>
        <w:spacing w:before="0" w:after="0"/>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DC049B">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w:t>
      </w:r>
      <w:r w:rsidR="0014071E">
        <w:rPr>
          <w:rFonts w:ascii="Times New Roman" w:hAnsi="Times New Roman"/>
          <w:sz w:val="22"/>
          <w:szCs w:val="22"/>
          <w:lang w:val="en-GB"/>
        </w:rPr>
        <w:t>:</w:t>
      </w:r>
    </w:p>
    <w:p w14:paraId="664111AC" w14:textId="1052AF7C" w:rsidR="0047783A" w:rsidRPr="0014071E" w:rsidRDefault="0014071E" w:rsidP="0014071E">
      <w:pPr>
        <w:numPr>
          <w:ilvl w:val="1"/>
          <w:numId w:val="10"/>
        </w:numPr>
        <w:rPr>
          <w:rFonts w:ascii="Times New Roman" w:hAnsi="Times New Roman"/>
          <w:sz w:val="22"/>
          <w:szCs w:val="22"/>
        </w:rPr>
      </w:pPr>
      <w:r w:rsidRPr="0014071E">
        <w:rPr>
          <w:rFonts w:ascii="Times New Roman" w:hAnsi="Times New Roman"/>
          <w:sz w:val="22"/>
          <w:szCs w:val="22"/>
        </w:rPr>
        <w:t>A financial offer calculated on a DDP  basis for the supplies tendered</w:t>
      </w:r>
    </w:p>
    <w:p w14:paraId="3DAE5EE3" w14:textId="77777777" w:rsidR="006D3F6F" w:rsidRDefault="006D3F6F" w:rsidP="006D3F6F">
      <w:pPr>
        <w:numPr>
          <w:ilvl w:val="1"/>
          <w:numId w:val="10"/>
        </w:numPr>
        <w:spacing w:after="0"/>
        <w:ind w:hanging="306"/>
        <w:rPr>
          <w:rFonts w:ascii="Times New Roman" w:hAnsi="Times New Roman"/>
          <w:sz w:val="22"/>
          <w:szCs w:val="22"/>
        </w:rPr>
      </w:pPr>
      <w:r w:rsidRPr="00E82463">
        <w:rPr>
          <w:rFonts w:ascii="Times New Roman" w:hAnsi="Times New Roman"/>
          <w:sz w:val="22"/>
          <w:szCs w:val="22"/>
        </w:rPr>
        <w:t>This financi</w:t>
      </w:r>
      <w:r>
        <w:rPr>
          <w:rFonts w:ascii="Times New Roman" w:hAnsi="Times New Roman"/>
          <w:sz w:val="22"/>
          <w:szCs w:val="22"/>
        </w:rPr>
        <w:t xml:space="preserve">al offer should be presented in RSD as </w:t>
      </w:r>
      <w:r w:rsidRPr="00E82463">
        <w:rPr>
          <w:rFonts w:ascii="Times New Roman" w:hAnsi="Times New Roman"/>
          <w:sz w:val="22"/>
          <w:szCs w:val="22"/>
        </w:rPr>
        <w:t>per template (Annex IV*, Budget breakdown), adding separate sheets for details if necessary.</w:t>
      </w:r>
    </w:p>
    <w:p w14:paraId="36E55115" w14:textId="77777777" w:rsidR="006D3F6F" w:rsidRDefault="006D3F6F" w:rsidP="0014071E">
      <w:pPr>
        <w:spacing w:after="0"/>
        <w:ind w:left="1440"/>
        <w:rPr>
          <w:rFonts w:ascii="Times New Roman" w:hAnsi="Times New Roman"/>
          <w:sz w:val="22"/>
          <w:szCs w:val="22"/>
        </w:rPr>
      </w:pP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4E41A192" w:rsidR="0047783A" w:rsidRPr="00726BA2" w:rsidRDefault="0047783A" w:rsidP="003B15A8">
      <w:pPr>
        <w:numPr>
          <w:ilvl w:val="0"/>
          <w:numId w:val="6"/>
        </w:numPr>
        <w:tabs>
          <w:tab w:val="num" w:pos="851"/>
        </w:tabs>
        <w:ind w:left="851" w:hanging="425"/>
        <w:jc w:val="both"/>
        <w:rPr>
          <w:rFonts w:ascii="Times New Roman" w:hAnsi="Times New Roman"/>
          <w:sz w:val="22"/>
          <w:szCs w:val="22"/>
          <w:highlight w:val="lightGray"/>
        </w:rPr>
      </w:pPr>
      <w:r w:rsidRPr="00DC049B">
        <w:rPr>
          <w:rFonts w:ascii="Times New Roman" w:hAnsi="Times New Roman"/>
          <w:sz w:val="22"/>
          <w:szCs w:val="22"/>
        </w:rPr>
        <w:t>The</w:t>
      </w:r>
      <w:r w:rsidRPr="00726BA2">
        <w:rPr>
          <w:rFonts w:ascii="Times New Roman" w:hAnsi="Times New Roman"/>
          <w:sz w:val="22"/>
          <w:szCs w:val="22"/>
        </w:rPr>
        <w:t xml:space="preserve"> </w:t>
      </w:r>
      <w:r w:rsidR="0002493B" w:rsidRPr="00726BA2">
        <w:rPr>
          <w:rFonts w:ascii="Times New Roman" w:hAnsi="Times New Roman"/>
          <w:b/>
          <w:sz w:val="22"/>
          <w:szCs w:val="22"/>
        </w:rPr>
        <w:t>"</w:t>
      </w:r>
      <w:r w:rsidRPr="00726BA2">
        <w:rPr>
          <w:rFonts w:ascii="Times New Roman" w:hAnsi="Times New Roman"/>
          <w:b/>
          <w:sz w:val="22"/>
          <w:szCs w:val="22"/>
        </w:rPr>
        <w:t xml:space="preserve">Tender </w:t>
      </w:r>
      <w:r w:rsidR="005C1201" w:rsidRPr="00726BA2">
        <w:rPr>
          <w:rFonts w:ascii="Times New Roman" w:hAnsi="Times New Roman"/>
          <w:b/>
          <w:sz w:val="22"/>
          <w:szCs w:val="22"/>
        </w:rPr>
        <w:t>f</w:t>
      </w:r>
      <w:r w:rsidRPr="00726BA2">
        <w:rPr>
          <w:rFonts w:ascii="Times New Roman" w:hAnsi="Times New Roman"/>
          <w:b/>
          <w:sz w:val="22"/>
          <w:szCs w:val="22"/>
        </w:rPr>
        <w:t xml:space="preserve">orm for a </w:t>
      </w:r>
      <w:r w:rsidR="005C1201" w:rsidRPr="00726BA2">
        <w:rPr>
          <w:rFonts w:ascii="Times New Roman" w:hAnsi="Times New Roman"/>
          <w:b/>
          <w:sz w:val="22"/>
          <w:szCs w:val="22"/>
        </w:rPr>
        <w:t>s</w:t>
      </w:r>
      <w:r w:rsidRPr="00726BA2">
        <w:rPr>
          <w:rFonts w:ascii="Times New Roman" w:hAnsi="Times New Roman"/>
          <w:b/>
          <w:sz w:val="22"/>
          <w:szCs w:val="22"/>
        </w:rPr>
        <w:t xml:space="preserve">upply </w:t>
      </w:r>
      <w:r w:rsidR="005C1201" w:rsidRPr="00726BA2">
        <w:rPr>
          <w:rFonts w:ascii="Times New Roman" w:hAnsi="Times New Roman"/>
          <w:b/>
          <w:sz w:val="22"/>
          <w:szCs w:val="22"/>
        </w:rPr>
        <w:t>c</w:t>
      </w:r>
      <w:r w:rsidRPr="00726BA2">
        <w:rPr>
          <w:rFonts w:ascii="Times New Roman" w:hAnsi="Times New Roman"/>
          <w:b/>
          <w:sz w:val="22"/>
          <w:szCs w:val="22"/>
        </w:rPr>
        <w:t>ontract</w:t>
      </w:r>
      <w:r w:rsidR="0002493B" w:rsidRPr="00726BA2">
        <w:rPr>
          <w:rFonts w:ascii="Times New Roman" w:hAnsi="Times New Roman"/>
          <w:b/>
          <w:sz w:val="22"/>
          <w:szCs w:val="22"/>
        </w:rPr>
        <w:t>"</w:t>
      </w:r>
      <w:r w:rsidRPr="00726BA2">
        <w:rPr>
          <w:rFonts w:ascii="Times New Roman" w:hAnsi="Times New Roman"/>
          <w:b/>
          <w:sz w:val="22"/>
          <w:szCs w:val="22"/>
        </w:rPr>
        <w:t>,</w:t>
      </w:r>
      <w:r w:rsidRPr="00726BA2">
        <w:rPr>
          <w:rFonts w:ascii="Times New Roman" w:hAnsi="Times New Roman"/>
          <w:sz w:val="22"/>
          <w:szCs w:val="22"/>
        </w:rPr>
        <w:t xml:space="preserve"> </w:t>
      </w:r>
      <w:r w:rsidR="007A0C47" w:rsidRPr="00726BA2">
        <w:rPr>
          <w:rFonts w:ascii="Times New Roman" w:hAnsi="Times New Roman"/>
          <w:sz w:val="22"/>
          <w:szCs w:val="22"/>
        </w:rPr>
        <w:t xml:space="preserve">together with Annex 1 </w:t>
      </w:r>
      <w:r w:rsidR="0002493B" w:rsidRPr="00726BA2">
        <w:rPr>
          <w:rFonts w:ascii="Times New Roman" w:hAnsi="Times New Roman"/>
          <w:b/>
          <w:sz w:val="22"/>
          <w:szCs w:val="22"/>
        </w:rPr>
        <w:t>"</w:t>
      </w:r>
      <w:r w:rsidR="007A0C47" w:rsidRPr="00726BA2">
        <w:rPr>
          <w:rFonts w:ascii="Times New Roman" w:hAnsi="Times New Roman"/>
          <w:b/>
          <w:sz w:val="22"/>
          <w:szCs w:val="22"/>
        </w:rPr>
        <w:t>Declaration o</w:t>
      </w:r>
      <w:r w:rsidR="0002493B" w:rsidRPr="00726BA2">
        <w:rPr>
          <w:rFonts w:ascii="Times New Roman" w:hAnsi="Times New Roman"/>
          <w:b/>
          <w:sz w:val="22"/>
          <w:szCs w:val="22"/>
        </w:rPr>
        <w:t>n</w:t>
      </w:r>
      <w:r w:rsidR="007A0C47" w:rsidRPr="00726BA2">
        <w:rPr>
          <w:rFonts w:ascii="Times New Roman" w:hAnsi="Times New Roman"/>
          <w:b/>
          <w:sz w:val="22"/>
          <w:szCs w:val="22"/>
        </w:rPr>
        <w:t xml:space="preserve"> honour on exclusion criteria and selection criteria</w:t>
      </w:r>
      <w:r w:rsidR="0002493B" w:rsidRPr="00726BA2">
        <w:rPr>
          <w:rFonts w:ascii="Times New Roman" w:hAnsi="Times New Roman"/>
          <w:b/>
          <w:sz w:val="22"/>
          <w:szCs w:val="22"/>
        </w:rPr>
        <w:t>"</w:t>
      </w:r>
      <w:r w:rsidR="007A0C47" w:rsidRPr="00726BA2">
        <w:rPr>
          <w:rFonts w:ascii="Times New Roman" w:hAnsi="Times New Roman"/>
          <w:sz w:val="22"/>
          <w:szCs w:val="22"/>
        </w:rPr>
        <w:t xml:space="preserve">, both </w:t>
      </w:r>
      <w:r w:rsidRPr="00726BA2">
        <w:rPr>
          <w:rFonts w:ascii="Times New Roman" w:hAnsi="Times New Roman"/>
          <w:sz w:val="22"/>
          <w:szCs w:val="22"/>
        </w:rPr>
        <w:t>duly completed, which includes the</w:t>
      </w:r>
      <w:r w:rsidR="00E45107" w:rsidRPr="00726BA2">
        <w:rPr>
          <w:rFonts w:ascii="Times New Roman" w:hAnsi="Times New Roman"/>
          <w:sz w:val="22"/>
          <w:szCs w:val="22"/>
          <w:u w:val="single"/>
        </w:rPr>
        <w:t xml:space="preserve"> </w:t>
      </w:r>
      <w:r w:rsidRPr="00726BA2">
        <w:rPr>
          <w:rFonts w:ascii="Times New Roman" w:hAnsi="Times New Roman"/>
          <w:sz w:val="22"/>
          <w:szCs w:val="22"/>
        </w:rPr>
        <w:t>tenderer’s declaration, point 7, (from each member if a consortium</w:t>
      </w:r>
      <w:r w:rsidR="00224EE3" w:rsidRPr="00726BA2">
        <w:rPr>
          <w:rFonts w:ascii="Times New Roman" w:hAnsi="Times New Roman"/>
          <w:sz w:val="22"/>
          <w:szCs w:val="22"/>
        </w:rPr>
        <w:t>, and capacity-providing entities or subcontractors (if any</w:t>
      </w:r>
      <w:r w:rsidR="00726BA2">
        <w:rPr>
          <w:rFonts w:ascii="Times New Roman" w:hAnsi="Times New Roman"/>
          <w:sz w:val="22"/>
          <w:szCs w:val="22"/>
        </w:rPr>
        <w:t>).</w:t>
      </w:r>
    </w:p>
    <w:p w14:paraId="2F0314E8" w14:textId="17B14610"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726BA2">
        <w:rPr>
          <w:rFonts w:ascii="Times New Roman" w:hAnsi="Times New Roman"/>
          <w:b/>
          <w:sz w:val="22"/>
          <w:szCs w:val="22"/>
        </w:rPr>
        <w:t>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00726BA2">
        <w:rPr>
          <w:rFonts w:ascii="Times New Roman" w:hAnsi="Times New Roman"/>
          <w:sz w:val="22"/>
          <w:szCs w:val="22"/>
        </w:rPr>
        <w:t xml:space="preserve"> with supporting documents.</w:t>
      </w:r>
      <w:r w:rsidRPr="00E82463">
        <w:rPr>
          <w:rFonts w:ascii="Times New Roman" w:hAnsi="Times New Roman"/>
        </w:rPr>
        <w:t xml:space="preserve"> </w:t>
      </w:r>
    </w:p>
    <w:p w14:paraId="22D90939" w14:textId="03C33204" w:rsidR="00726BA2" w:rsidRDefault="00DC049B" w:rsidP="00DC049B">
      <w:pPr>
        <w:numPr>
          <w:ilvl w:val="0"/>
          <w:numId w:val="6"/>
        </w:numPr>
        <w:spacing w:after="0"/>
        <w:ind w:left="567" w:hanging="141"/>
        <w:jc w:val="both"/>
        <w:rPr>
          <w:rFonts w:ascii="Times New Roman" w:hAnsi="Times New Roman"/>
          <w:sz w:val="22"/>
          <w:szCs w:val="22"/>
        </w:rPr>
      </w:pPr>
      <w:r>
        <w:rPr>
          <w:rFonts w:ascii="Times New Roman" w:hAnsi="Times New Roman"/>
          <w:sz w:val="22"/>
          <w:szCs w:val="22"/>
        </w:rPr>
        <w:t xml:space="preserve"> </w:t>
      </w:r>
      <w:r w:rsidR="0047783A" w:rsidRPr="00726BA2">
        <w:rPr>
          <w:rFonts w:ascii="Times New Roman" w:hAnsi="Times New Roman"/>
          <w:sz w:val="22"/>
          <w:szCs w:val="22"/>
        </w:rPr>
        <w:t xml:space="preserve">The </w:t>
      </w:r>
      <w:r w:rsidR="0047783A" w:rsidRPr="00726BA2">
        <w:rPr>
          <w:rFonts w:ascii="Times New Roman" w:hAnsi="Times New Roman"/>
          <w:b/>
          <w:sz w:val="22"/>
          <w:szCs w:val="22"/>
        </w:rPr>
        <w:t>legal entity file</w:t>
      </w:r>
      <w:r w:rsidR="0047783A" w:rsidRPr="00726BA2">
        <w:rPr>
          <w:rFonts w:ascii="Times New Roman" w:hAnsi="Times New Roman"/>
          <w:sz w:val="22"/>
          <w:szCs w:val="22"/>
        </w:rPr>
        <w:t xml:space="preserve"> </w:t>
      </w:r>
      <w:r w:rsidR="007C6835" w:rsidRPr="00726BA2">
        <w:rPr>
          <w:rFonts w:ascii="Times New Roman" w:hAnsi="Times New Roman"/>
          <w:sz w:val="22"/>
          <w:szCs w:val="22"/>
        </w:rPr>
        <w:t xml:space="preserve">(document c4o2_lefind_en) </w:t>
      </w:r>
      <w:r w:rsidR="0047783A" w:rsidRPr="00726BA2">
        <w:rPr>
          <w:rFonts w:ascii="Times New Roman" w:hAnsi="Times New Roman"/>
          <w:sz w:val="22"/>
          <w:szCs w:val="22"/>
        </w:rPr>
        <w:t xml:space="preserve">and the supporting </w:t>
      </w:r>
    </w:p>
    <w:p w14:paraId="25AD8BB5" w14:textId="6B5479FF" w:rsidR="0047783A" w:rsidRPr="00726BA2" w:rsidRDefault="0047783A" w:rsidP="00726BA2">
      <w:pPr>
        <w:spacing w:after="0"/>
        <w:ind w:left="567"/>
        <w:jc w:val="both"/>
        <w:rPr>
          <w:rFonts w:ascii="Times New Roman" w:hAnsi="Times New Roman"/>
          <w:sz w:val="22"/>
          <w:szCs w:val="22"/>
        </w:rPr>
      </w:pPr>
      <w:r w:rsidRPr="00726BA2">
        <w:rPr>
          <w:rFonts w:ascii="Times New Roman" w:hAnsi="Times New Roman"/>
          <w:sz w:val="22"/>
          <w:szCs w:val="22"/>
        </w:rPr>
        <w:t xml:space="preserve">To be supplied </w:t>
      </w:r>
      <w:r w:rsidR="002D0CE1" w:rsidRPr="00726BA2">
        <w:rPr>
          <w:rFonts w:ascii="Times New Roman" w:hAnsi="Times New Roman"/>
          <w:sz w:val="22"/>
          <w:szCs w:val="22"/>
        </w:rPr>
        <w:t>i</w:t>
      </w:r>
      <w:r w:rsidRPr="00726BA2">
        <w:rPr>
          <w:rFonts w:ascii="Times New Roman" w:hAnsi="Times New Roman"/>
          <w:sz w:val="22"/>
          <w:szCs w:val="22"/>
        </w:rPr>
        <w:t>n free</w:t>
      </w:r>
      <w:r w:rsidR="002D0CE1" w:rsidRPr="00726BA2">
        <w:rPr>
          <w:rFonts w:ascii="Times New Roman" w:hAnsi="Times New Roman"/>
          <w:sz w:val="22"/>
          <w:szCs w:val="22"/>
        </w:rPr>
        <w:t>-text</w:t>
      </w:r>
      <w:r w:rsidRPr="00726BA2">
        <w:rPr>
          <w:rFonts w:ascii="Times New Roman" w:hAnsi="Times New Roman"/>
          <w:sz w:val="22"/>
          <w:szCs w:val="22"/>
        </w:rPr>
        <w:t xml:space="preserve"> format:</w:t>
      </w:r>
    </w:p>
    <w:p w14:paraId="3AAE3DA0" w14:textId="75DB48F2" w:rsidR="0047783A" w:rsidRPr="00726BA2" w:rsidRDefault="0047783A" w:rsidP="00DC049B">
      <w:pPr>
        <w:numPr>
          <w:ilvl w:val="0"/>
          <w:numId w:val="6"/>
        </w:numPr>
        <w:tabs>
          <w:tab w:val="num" w:pos="1134"/>
        </w:tabs>
        <w:spacing w:after="0"/>
        <w:ind w:left="1135" w:hanging="709"/>
        <w:jc w:val="both"/>
        <w:rPr>
          <w:rFonts w:ascii="Times New Roman" w:hAnsi="Times New Roman"/>
          <w:sz w:val="22"/>
          <w:szCs w:val="22"/>
        </w:rPr>
      </w:pPr>
      <w:r w:rsidRPr="00E82463">
        <w:rPr>
          <w:rFonts w:ascii="Times New Roman" w:hAnsi="Times New Roman"/>
          <w:sz w:val="22"/>
          <w:szCs w:val="22"/>
        </w:rPr>
        <w:t xml:space="preserve">A description of the </w:t>
      </w:r>
      <w:r w:rsidRPr="00726BA2">
        <w:rPr>
          <w:rFonts w:ascii="Times New Roman" w:hAnsi="Times New Roman"/>
          <w:b/>
          <w:sz w:val="22"/>
          <w:szCs w:val="22"/>
        </w:rPr>
        <w:t>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1AC91D1D" w:rsidR="0047783A" w:rsidRPr="00E82463" w:rsidRDefault="0047783A" w:rsidP="00DC049B">
      <w:pPr>
        <w:numPr>
          <w:ilvl w:val="0"/>
          <w:numId w:val="6"/>
        </w:numPr>
        <w:tabs>
          <w:tab w:val="num" w:pos="1134"/>
        </w:tabs>
        <w:spacing w:after="0"/>
        <w:ind w:left="1135" w:hanging="709"/>
        <w:jc w:val="both"/>
        <w:rPr>
          <w:rFonts w:ascii="Times New Roman" w:hAnsi="Times New Roman"/>
          <w:sz w:val="22"/>
          <w:szCs w:val="22"/>
        </w:rPr>
      </w:pPr>
      <w:r w:rsidRPr="00726BA2">
        <w:rPr>
          <w:rFonts w:ascii="Times New Roman" w:hAnsi="Times New Roman"/>
          <w:b/>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726BA2">
        <w:rPr>
          <w:rFonts w:ascii="Times New Roman" w:hAnsi="Times New Roman"/>
          <w:sz w:val="22"/>
          <w:szCs w:val="22"/>
        </w:rPr>
        <w:t>.</w:t>
      </w:r>
      <w:r w:rsidR="000D66C0">
        <w:rPr>
          <w:rFonts w:ascii="Times New Roman" w:hAnsi="Times New Roman"/>
          <w:sz w:val="22"/>
          <w:szCs w:val="22"/>
        </w:rPr>
        <w:t xml:space="preserve"> </w:t>
      </w:r>
    </w:p>
    <w:p w14:paraId="394677DE" w14:textId="2CC28AA3" w:rsidR="000D66C0" w:rsidRPr="008D49E9" w:rsidRDefault="00726BA2" w:rsidP="00DC049B">
      <w:pPr>
        <w:numPr>
          <w:ilvl w:val="0"/>
          <w:numId w:val="6"/>
        </w:numPr>
        <w:tabs>
          <w:tab w:val="num" w:pos="1134"/>
        </w:tabs>
        <w:spacing w:after="0"/>
        <w:ind w:left="1135" w:hanging="709"/>
        <w:jc w:val="both"/>
        <w:rPr>
          <w:rFonts w:ascii="Times New Roman" w:hAnsi="Times New Roman"/>
          <w:sz w:val="22"/>
          <w:szCs w:val="22"/>
        </w:rPr>
      </w:pPr>
      <w:r>
        <w:rPr>
          <w:rFonts w:ascii="Times New Roman" w:hAnsi="Times New Roman"/>
          <w:sz w:val="22"/>
          <w:szCs w:val="22"/>
        </w:rPr>
        <w:t>Copy of Legal Registration.</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lastRenderedPageBreak/>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w:t>
      </w:r>
      <w:bookmarkStart w:id="19" w:name="_GoBack"/>
      <w:bookmarkEnd w:id="19"/>
      <w:r w:rsidRPr="00E82463">
        <w:rPr>
          <w:rFonts w:ascii="Times New Roman" w:hAnsi="Times New Roman"/>
          <w:sz w:val="22"/>
          <w:lang w:val="en-GB"/>
        </w:rPr>
        <w:t>ngements are the following:</w:t>
      </w:r>
    </w:p>
    <w:p w14:paraId="06AD6380" w14:textId="36F2F3BD" w:rsidR="002346F2" w:rsidRDefault="002346F2" w:rsidP="009956B4">
      <w:pPr>
        <w:pStyle w:val="Heading1"/>
        <w:rPr>
          <w:b w:val="0"/>
          <w:sz w:val="22"/>
          <w:lang w:val="en-GB"/>
        </w:rPr>
      </w:pPr>
      <w:bookmarkStart w:id="20" w:name="_Toc42488082"/>
      <w:r>
        <w:rPr>
          <w:b w:val="0"/>
          <w:sz w:val="22"/>
          <w:lang w:val="en-GB"/>
        </w:rPr>
        <w:t xml:space="preserve">           </w:t>
      </w:r>
      <w:r w:rsidRPr="002346F2">
        <w:rPr>
          <w:b w:val="0"/>
          <w:sz w:val="22"/>
          <w:lang w:val="en-GB"/>
        </w:rPr>
        <w:t>In accordance with  Regulation (EU) 2021/1060 VAT and customs taxes are eligible for the operation this contract is part of. Therefore, all taxes and customs arrangements should be specified in financial offer.</w:t>
      </w:r>
    </w:p>
    <w:p w14:paraId="09EA0EDD" w14:textId="457077B6"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1B0C5E79" w:rsidR="0077201B" w:rsidRPr="00680F33" w:rsidRDefault="0077201B" w:rsidP="0077201B">
      <w:pPr>
        <w:keepNext/>
        <w:ind w:left="567"/>
        <w:jc w:val="both"/>
        <w:rPr>
          <w:rFonts w:ascii="Times New Roman" w:hAnsi="Times New Roman"/>
          <w:sz w:val="22"/>
          <w:szCs w:val="22"/>
        </w:rPr>
      </w:pPr>
      <w:r w:rsidRPr="00680F33">
        <w:rPr>
          <w:rFonts w:ascii="Times New Roman" w:hAnsi="Times New Roman"/>
          <w:sz w:val="22"/>
          <w:szCs w:val="22"/>
        </w:rPr>
        <w:t xml:space="preserve">Tenderers may submit questions in writing to the following address up to </w:t>
      </w:r>
      <w:r w:rsidR="005F7A76" w:rsidRPr="00680F33">
        <w:rPr>
          <w:rFonts w:ascii="Times New Roman" w:hAnsi="Times New Roman"/>
          <w:sz w:val="22"/>
          <w:szCs w:val="22"/>
        </w:rPr>
        <w:t xml:space="preserve">15 </w:t>
      </w:r>
      <w:r w:rsidRPr="00680F33">
        <w:rPr>
          <w:rFonts w:ascii="Times New Roman" w:hAnsi="Times New Roman"/>
          <w:sz w:val="22"/>
          <w:szCs w:val="22"/>
        </w:rPr>
        <w:t>days before the dead</w:t>
      </w:r>
      <w:r w:rsidR="00680F33" w:rsidRPr="00680F33">
        <w:rPr>
          <w:rFonts w:ascii="Times New Roman" w:hAnsi="Times New Roman"/>
          <w:sz w:val="22"/>
          <w:szCs w:val="22"/>
        </w:rPr>
        <w:t>line for submission of tenders:</w:t>
      </w:r>
    </w:p>
    <w:p w14:paraId="003CAB98" w14:textId="4AD4B3DF" w:rsidR="009D36D2" w:rsidRPr="00680F33" w:rsidRDefault="00680F33" w:rsidP="00680F33">
      <w:pPr>
        <w:pStyle w:val="BodyText"/>
        <w:spacing w:before="240"/>
        <w:ind w:left="567"/>
        <w:rPr>
          <w:rFonts w:ascii="Times New Roman" w:hAnsi="Times New Roman"/>
          <w:sz w:val="22"/>
          <w:szCs w:val="22"/>
        </w:rPr>
      </w:pPr>
      <w:r w:rsidRPr="00680F33">
        <w:rPr>
          <w:rFonts w:ascii="Times New Roman" w:hAnsi="Times New Roman"/>
          <w:sz w:val="22"/>
          <w:szCs w:val="22"/>
        </w:rPr>
        <w:t>Ms Natasa Milosavljevic Zezelj</w:t>
      </w:r>
      <w:r w:rsidRPr="00680F33">
        <w:rPr>
          <w:rFonts w:ascii="Times New Roman" w:hAnsi="Times New Roman"/>
          <w:sz w:val="22"/>
          <w:szCs w:val="22"/>
        </w:rPr>
        <w:br/>
        <w:t>Nemanjina 34, 11000 Belgrade</w:t>
      </w:r>
      <w:r w:rsidRPr="00680F33">
        <w:rPr>
          <w:rFonts w:ascii="Times New Roman" w:hAnsi="Times New Roman"/>
          <w:sz w:val="22"/>
          <w:szCs w:val="22"/>
        </w:rPr>
        <w:br/>
        <w:t>email: natasa.milosavljevic@mei.gov.rs</w:t>
      </w:r>
    </w:p>
    <w:p w14:paraId="5D996C4B" w14:textId="14BA0924" w:rsidR="0077201B" w:rsidRPr="00680F33" w:rsidRDefault="0077201B">
      <w:pPr>
        <w:pStyle w:val="BodyText"/>
        <w:ind w:left="567"/>
        <w:jc w:val="both"/>
        <w:rPr>
          <w:rFonts w:ascii="Times New Roman" w:hAnsi="Times New Roman"/>
          <w:sz w:val="22"/>
          <w:szCs w:val="22"/>
        </w:rPr>
      </w:pPr>
      <w:r w:rsidRPr="00680F33">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74DED21" w:rsidR="0047783A"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038EFC82" w14:textId="48067AD1" w:rsidR="006919FF" w:rsidRPr="006919FF" w:rsidRDefault="006919FF" w:rsidP="006919FF">
      <w:r>
        <w:t>N/A</w:t>
      </w:r>
    </w:p>
    <w:p w14:paraId="6214904C" w14:textId="442E4C7A"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252B39A" w:rsidR="002F559C" w:rsidRPr="00937E16" w:rsidRDefault="0047783A" w:rsidP="00937E16">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937E16">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37E16">
        <w:rPr>
          <w:rFonts w:ascii="Times New Roman" w:hAnsi="Times New Roman"/>
          <w:sz w:val="22"/>
          <w:lang w:val="en-IE"/>
        </w:rPr>
        <w:t xml:space="preserve"> </w:t>
      </w:r>
      <w:r w:rsidR="002F559C" w:rsidRPr="00937E16">
        <w:rPr>
          <w:rFonts w:ascii="Times New Roman" w:hAnsi="Times New Roman"/>
          <w:sz w:val="22"/>
          <w:lang w:val="en-IE"/>
        </w:rPr>
        <w:tab/>
      </w:r>
    </w:p>
    <w:p w14:paraId="2F12C80F" w14:textId="50153002" w:rsidR="0047783A" w:rsidRPr="00937E16" w:rsidRDefault="0047783A" w:rsidP="009956B4">
      <w:pPr>
        <w:pStyle w:val="Heading2"/>
        <w:keepNext w:val="0"/>
        <w:ind w:left="567"/>
        <w:jc w:val="both"/>
        <w:rPr>
          <w:rFonts w:ascii="Times New Roman" w:hAnsi="Times New Roman"/>
          <w:sz w:val="22"/>
          <w:szCs w:val="22"/>
          <w:lang w:val="en-GB"/>
        </w:rPr>
      </w:pPr>
      <w:r w:rsidRPr="00937E16">
        <w:rPr>
          <w:rFonts w:ascii="Times New Roman" w:hAnsi="Times New Roman"/>
          <w:sz w:val="22"/>
          <w:szCs w:val="22"/>
          <w:lang w:val="en-GB"/>
        </w:rPr>
        <w:t xml:space="preserve">Any such notification of alteration or withdrawal must be prepared and submitted in accordance with </w:t>
      </w:r>
      <w:r w:rsidR="000C6C88" w:rsidRPr="00937E16">
        <w:rPr>
          <w:rFonts w:ascii="Times New Roman" w:hAnsi="Times New Roman"/>
          <w:sz w:val="22"/>
          <w:szCs w:val="22"/>
          <w:lang w:val="en-GB"/>
        </w:rPr>
        <w:t>Section 10</w:t>
      </w:r>
      <w:r w:rsidRPr="00937E16">
        <w:rPr>
          <w:rFonts w:ascii="Times New Roman" w:hAnsi="Times New Roman"/>
          <w:sz w:val="22"/>
          <w:szCs w:val="22"/>
          <w:lang w:val="en-GB"/>
        </w:rPr>
        <w:t xml:space="preserve">. The outer envelope must be marked </w:t>
      </w:r>
      <w:r w:rsidR="006A5F84" w:rsidRPr="00937E16">
        <w:rPr>
          <w:rFonts w:ascii="Times New Roman" w:hAnsi="Times New Roman"/>
          <w:sz w:val="22"/>
          <w:szCs w:val="22"/>
          <w:lang w:val="en-GB"/>
        </w:rPr>
        <w:t>‘</w:t>
      </w:r>
      <w:r w:rsidRPr="00937E16">
        <w:rPr>
          <w:rFonts w:ascii="Times New Roman" w:hAnsi="Times New Roman"/>
          <w:sz w:val="22"/>
          <w:szCs w:val="22"/>
          <w:lang w:val="en-GB"/>
        </w:rPr>
        <w:t>Alteration</w:t>
      </w:r>
      <w:r w:rsidR="006A5F84" w:rsidRPr="00937E16">
        <w:rPr>
          <w:rFonts w:ascii="Times New Roman" w:hAnsi="Times New Roman"/>
          <w:sz w:val="22"/>
          <w:szCs w:val="22"/>
          <w:lang w:val="en-GB"/>
        </w:rPr>
        <w:t>’</w:t>
      </w:r>
      <w:r w:rsidRPr="00937E16">
        <w:rPr>
          <w:rFonts w:ascii="Times New Roman" w:hAnsi="Times New Roman"/>
          <w:sz w:val="22"/>
          <w:szCs w:val="22"/>
          <w:lang w:val="en-GB"/>
        </w:rPr>
        <w:t xml:space="preserve"> or </w:t>
      </w:r>
      <w:r w:rsidR="006A5F84" w:rsidRPr="00937E16">
        <w:rPr>
          <w:rFonts w:ascii="Times New Roman" w:hAnsi="Times New Roman"/>
          <w:sz w:val="22"/>
          <w:szCs w:val="22"/>
          <w:lang w:val="en-GB"/>
        </w:rPr>
        <w:t>‘</w:t>
      </w:r>
      <w:r w:rsidRPr="00937E16">
        <w:rPr>
          <w:rFonts w:ascii="Times New Roman" w:hAnsi="Times New Roman"/>
          <w:sz w:val="22"/>
          <w:szCs w:val="22"/>
          <w:lang w:val="en-GB"/>
        </w:rPr>
        <w:t>Withdrawal</w:t>
      </w:r>
      <w:r w:rsidR="006A5F84" w:rsidRPr="00937E16">
        <w:rPr>
          <w:rFonts w:ascii="Times New Roman" w:hAnsi="Times New Roman"/>
          <w:sz w:val="22"/>
          <w:szCs w:val="22"/>
          <w:lang w:val="en-GB"/>
        </w:rPr>
        <w:t>’</w:t>
      </w:r>
      <w:r w:rsidRPr="00937E16">
        <w:rPr>
          <w:rFonts w:ascii="Times New Roman" w:hAnsi="Times New Roman"/>
          <w:sz w:val="22"/>
          <w:szCs w:val="22"/>
          <w:lang w:val="en-GB"/>
        </w:rPr>
        <w:t xml:space="preserve"> as appropriate.</w:t>
      </w:r>
      <w:r w:rsidR="005071E3" w:rsidRPr="00937E16">
        <w:rPr>
          <w:rFonts w:ascii="Times New Roman" w:hAnsi="Times New Roman"/>
          <w:sz w:val="22"/>
          <w:szCs w:val="22"/>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w:t>
      </w:r>
      <w:r w:rsidRPr="00E82463">
        <w:rPr>
          <w:rFonts w:ascii="Times New Roman" w:hAnsi="Times New Roman"/>
          <w:sz w:val="22"/>
          <w:lang w:val="en-GB"/>
        </w:rPr>
        <w:lastRenderedPageBreak/>
        <w:t>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5C437A8D"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w:t>
      </w:r>
      <w:r w:rsidR="0023196D">
        <w:rPr>
          <w:rFonts w:ascii="Times New Roman" w:hAnsi="Times New Roman"/>
          <w:sz w:val="22"/>
          <w:lang w:val="en-GB"/>
        </w:rPr>
        <w:t>2</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169FDF1A"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w:t>
      </w:r>
      <w:r w:rsidR="0023196D">
        <w:rPr>
          <w:rFonts w:ascii="Times New Roman" w:hAnsi="Times New Roman"/>
          <w:sz w:val="22"/>
          <w:lang w:val="en-GB"/>
        </w:rPr>
        <w:t>3</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61E04A95" w:rsidR="0047783A" w:rsidRPr="00E82463" w:rsidRDefault="0047783A" w:rsidP="0047783A">
      <w:pPr>
        <w:ind w:left="567" w:firstLine="11"/>
        <w:jc w:val="both"/>
        <w:outlineLvl w:val="0"/>
        <w:rPr>
          <w:rFonts w:ascii="Times New Roman" w:hAnsi="Times New Roman"/>
        </w:rPr>
      </w:pPr>
      <w:r w:rsidRPr="0018518F">
        <w:rPr>
          <w:rFonts w:ascii="Times New Roman" w:hAnsi="Times New Roman"/>
          <w:sz w:val="22"/>
        </w:rPr>
        <w:t>The sole award criterion will be the price. The contract will be awarded to the lowest compliant tender.</w:t>
      </w:r>
    </w:p>
    <w:p w14:paraId="1E6B308A" w14:textId="6C8CA65E" w:rsidR="0048742A" w:rsidRPr="00A56251" w:rsidRDefault="0018518F" w:rsidP="0018518F">
      <w:pPr>
        <w:jc w:val="both"/>
        <w:rPr>
          <w:rFonts w:ascii="Times New Roman" w:hAnsi="Times New Roman"/>
          <w:sz w:val="22"/>
          <w:szCs w:val="22"/>
        </w:rPr>
      </w:pPr>
      <w:r>
        <w:rPr>
          <w:rFonts w:ascii="Times New Roman" w:hAnsi="Times New Roman"/>
          <w:sz w:val="22"/>
          <w:szCs w:val="22"/>
        </w:rPr>
        <w:t xml:space="preserve">20.7 </w:t>
      </w:r>
      <w:r w:rsidR="0048742A" w:rsidRPr="009956B4">
        <w:rPr>
          <w:rFonts w:ascii="Times New Roman" w:hAnsi="Times New Roman"/>
          <w:sz w:val="22"/>
          <w:szCs w:val="22"/>
        </w:rPr>
        <w:t>Documentary evidence for exclusion and selection criteria</w:t>
      </w:r>
    </w:p>
    <w:p w14:paraId="7DB1D2B7" w14:textId="5C379A23" w:rsidR="00531CAA" w:rsidRPr="009956B4" w:rsidRDefault="00266552" w:rsidP="009956B4">
      <w:pPr>
        <w:jc w:val="both"/>
        <w:rPr>
          <w:rFonts w:ascii="Times New Roman" w:hAnsi="Times New Roman"/>
          <w:sz w:val="22"/>
          <w:szCs w:val="22"/>
          <w:lang w:val="en-IE"/>
        </w:rPr>
      </w:pPr>
      <w:r w:rsidRPr="0018518F">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14:paraId="6B9F0CD1" w14:textId="123B85EB" w:rsidR="00531CAA" w:rsidRDefault="00BD0512" w:rsidP="009956B4">
      <w:pPr>
        <w:jc w:val="both"/>
        <w:rPr>
          <w:rFonts w:ascii="Times New Roman" w:hAnsi="Times New Roman"/>
          <w:sz w:val="22"/>
          <w:szCs w:val="22"/>
        </w:rPr>
      </w:pPr>
      <w:r w:rsidRPr="00756E23">
        <w:rPr>
          <w:rFonts w:ascii="Times New Roman" w:hAnsi="Times New Roman"/>
          <w:color w:val="000000"/>
          <w:sz w:val="22"/>
          <w:szCs w:val="22"/>
        </w:rPr>
        <w:t>No documentary evidence of the selection criteria shall be submitted but no pre-financing will be granted</w:t>
      </w:r>
      <w:r w:rsidR="00621C05" w:rsidRPr="00756E23">
        <w:rPr>
          <w:rFonts w:ascii="Times New Roman" w:hAnsi="Times New Roman"/>
          <w:color w:val="000000"/>
          <w:sz w:val="22"/>
          <w:szCs w:val="22"/>
        </w:rPr>
        <w:t>.</w:t>
      </w:r>
    </w:p>
    <w:p w14:paraId="0AAE80D4" w14:textId="77777777" w:rsidR="0048742A" w:rsidRPr="004C5E11" w:rsidRDefault="0048742A" w:rsidP="009956B4">
      <w:pPr>
        <w:jc w:val="both"/>
        <w:rPr>
          <w:rFonts w:ascii="Times New Roman" w:hAnsi="Times New Roman"/>
          <w:sz w:val="22"/>
          <w:szCs w:val="22"/>
        </w:rPr>
      </w:pPr>
      <w:r w:rsidRPr="004C5E11">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4C5E11" w:rsidRDefault="0048742A" w:rsidP="009956B4">
      <w:pPr>
        <w:jc w:val="both"/>
        <w:outlineLvl w:val="0"/>
        <w:rPr>
          <w:rFonts w:ascii="Times New Roman" w:hAnsi="Times New Roman"/>
          <w:sz w:val="22"/>
          <w:szCs w:val="22"/>
          <w:lang w:val="en-IE"/>
        </w:rPr>
      </w:pPr>
      <w:r w:rsidRPr="004C5E11">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4C5E11" w:rsidRDefault="00124409" w:rsidP="00124409">
      <w:pPr>
        <w:jc w:val="both"/>
        <w:rPr>
          <w:rFonts w:ascii="Times New Roman" w:hAnsi="Times New Roman"/>
          <w:sz w:val="22"/>
          <w:szCs w:val="22"/>
        </w:rPr>
      </w:pPr>
      <w:r w:rsidRPr="004C5E11">
        <w:rPr>
          <w:rFonts w:ascii="Times New Roman" w:hAnsi="Times New Roman"/>
          <w:sz w:val="22"/>
          <w:szCs w:val="22"/>
        </w:rPr>
        <w:t>The above-mentioned docume</w:t>
      </w:r>
      <w:r w:rsidR="00531CAA" w:rsidRPr="004C5E11">
        <w:rPr>
          <w:rFonts w:ascii="Times New Roman" w:hAnsi="Times New Roman"/>
          <w:sz w:val="22"/>
          <w:szCs w:val="22"/>
        </w:rPr>
        <w:t xml:space="preserve">nts must be submitted for </w:t>
      </w:r>
      <w:r w:rsidRPr="004C5E11">
        <w:rPr>
          <w:rFonts w:ascii="Times New Roman" w:hAnsi="Times New Roman"/>
          <w:sz w:val="22"/>
          <w:szCs w:val="22"/>
        </w:rPr>
        <w:t>every member of a joint venture/consortium, all subcontractors and every capacity providing entit</w:t>
      </w:r>
      <w:r w:rsidR="00531CAA" w:rsidRPr="004C5E11">
        <w:rPr>
          <w:rFonts w:ascii="Times New Roman" w:hAnsi="Times New Roman"/>
          <w:sz w:val="22"/>
          <w:szCs w:val="22"/>
        </w:rPr>
        <w:t>y</w:t>
      </w:r>
      <w:r w:rsidRPr="004C5E11">
        <w:rPr>
          <w:rFonts w:ascii="Times New Roman" w:hAnsi="Times New Roman"/>
          <w:sz w:val="22"/>
          <w:szCs w:val="22"/>
        </w:rPr>
        <w:t xml:space="preserve">. </w:t>
      </w:r>
    </w:p>
    <w:p w14:paraId="5DE9377D" w14:textId="19BB92C7" w:rsidR="0048742A" w:rsidRPr="004C5E11" w:rsidRDefault="0048742A" w:rsidP="009956B4">
      <w:pPr>
        <w:jc w:val="both"/>
        <w:outlineLvl w:val="0"/>
        <w:rPr>
          <w:rFonts w:ascii="Times New Roman" w:hAnsi="Times New Roman"/>
          <w:sz w:val="22"/>
          <w:szCs w:val="22"/>
          <w:lang w:val="en-IE"/>
        </w:rPr>
      </w:pPr>
      <w:r w:rsidRPr="004C5E11">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4C5E11" w:rsidRDefault="0048742A" w:rsidP="009956B4">
      <w:pPr>
        <w:jc w:val="both"/>
        <w:outlineLvl w:val="0"/>
        <w:rPr>
          <w:rFonts w:ascii="Times New Roman" w:hAnsi="Times New Roman"/>
          <w:sz w:val="22"/>
          <w:szCs w:val="22"/>
          <w:lang w:val="en-IE"/>
        </w:rPr>
      </w:pPr>
      <w:r w:rsidRPr="004C5E11">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4C5E11" w:rsidRDefault="0048742A" w:rsidP="009956B4">
      <w:pPr>
        <w:jc w:val="both"/>
        <w:outlineLvl w:val="0"/>
        <w:rPr>
          <w:rFonts w:ascii="Times New Roman" w:hAnsi="Times New Roman"/>
          <w:sz w:val="22"/>
          <w:szCs w:val="22"/>
          <w:lang w:val="en-IE"/>
        </w:rPr>
      </w:pPr>
      <w:r w:rsidRPr="004C5E11">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3E23E92E" w:rsidR="0048742A" w:rsidRPr="009956B4" w:rsidRDefault="0048742A" w:rsidP="009956B4">
      <w:pPr>
        <w:jc w:val="both"/>
        <w:rPr>
          <w:rFonts w:ascii="Times New Roman" w:hAnsi="Times New Roman"/>
          <w:sz w:val="22"/>
          <w:szCs w:val="22"/>
        </w:rPr>
      </w:pPr>
      <w:r w:rsidRPr="004C5E11">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4C5E11" w:rsidRPr="004C5E11">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4D1197C8"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3E374C">
        <w:rPr>
          <w:rFonts w:ascii="Times New Roman" w:hAnsi="Times New Roman"/>
          <w:sz w:val="22"/>
        </w:rPr>
        <w:t>N/A</w:t>
      </w:r>
    </w:p>
    <w:p w14:paraId="013B3266" w14:textId="7E4D6C38" w:rsidR="003E374C" w:rsidRPr="001A2BC4" w:rsidRDefault="00EA1ADC" w:rsidP="003E374C">
      <w:pPr>
        <w:pStyle w:val="Heading1"/>
        <w:rPr>
          <w:sz w:val="22"/>
          <w:szCs w:val="22"/>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r w:rsidR="000D66C0" w:rsidRPr="001A2BC4" w:rsidDel="000D66C0">
        <w:rPr>
          <w:sz w:val="22"/>
          <w:szCs w:val="22"/>
          <w:highlight w:val="yellow"/>
        </w:rPr>
        <w:t xml:space="preserve"> </w:t>
      </w:r>
    </w:p>
    <w:p w14:paraId="37999967" w14:textId="68112737" w:rsidR="008718AA" w:rsidRPr="00E82463" w:rsidRDefault="00D1398A" w:rsidP="00E07D2A">
      <w:pPr>
        <w:ind w:left="567"/>
        <w:jc w:val="both"/>
        <w:outlineLvl w:val="0"/>
        <w:rPr>
          <w:rFonts w:ascii="Times New Roman" w:hAnsi="Times New Roman"/>
          <w:sz w:val="22"/>
        </w:rPr>
      </w:pPr>
      <w:r w:rsidRPr="003E374C">
        <w:rPr>
          <w:rFonts w:ascii="Times New Roman" w:hAnsi="Times New Roman"/>
          <w:sz w:val="22"/>
          <w:szCs w:val="22"/>
        </w:rPr>
        <w:t>No tender guarantee is required</w:t>
      </w:r>
      <w:r w:rsidRPr="003E374C">
        <w:rPr>
          <w:rFonts w:ascii="Times New Roman" w:hAnsi="Times New Roman"/>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w:t>
      </w:r>
      <w:r w:rsidRPr="00C348C0">
        <w:rPr>
          <w:rFonts w:ascii="Times New Roman" w:hAnsi="Times New Roman"/>
          <w:sz w:val="22"/>
          <w:szCs w:val="22"/>
        </w:rPr>
        <w:lastRenderedPageBreak/>
        <w:t>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70BC36E1" w:rsidR="00A50D37" w:rsidRPr="00DA1183" w:rsidRDefault="00A50D37" w:rsidP="00183955">
      <w:pPr>
        <w:tabs>
          <w:tab w:val="left" w:pos="567"/>
        </w:tabs>
        <w:ind w:left="567"/>
        <w:jc w:val="both"/>
        <w:rPr>
          <w:rFonts w:ascii="Times New Roman" w:hAnsi="Times New Roman"/>
          <w:sz w:val="22"/>
          <w:szCs w:val="22"/>
        </w:rPr>
      </w:pPr>
      <w:r w:rsidRPr="00DA1183">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49FC7567" w:rsidR="00A50D37" w:rsidRPr="00FC6A15" w:rsidRDefault="00A50D37" w:rsidP="00183955">
      <w:pPr>
        <w:tabs>
          <w:tab w:val="left" w:pos="567"/>
        </w:tabs>
        <w:ind w:left="567"/>
        <w:jc w:val="both"/>
        <w:rPr>
          <w:rFonts w:ascii="Times New Roman" w:hAnsi="Times New Roman"/>
          <w:sz w:val="22"/>
          <w:szCs w:val="22"/>
        </w:rPr>
      </w:pPr>
      <w:r w:rsidRPr="00DA1183">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w:t>
      </w:r>
      <w:r w:rsidR="00DA1183" w:rsidRPr="00DA1183">
        <w:rPr>
          <w:rFonts w:ascii="Times New Roman" w:hAnsi="Times New Roman"/>
          <w:sz w:val="22"/>
          <w:szCs w:val="22"/>
        </w:rPr>
        <w:t xml:space="preserve">ied out within the Commission </w:t>
      </w:r>
    </w:p>
    <w:p w14:paraId="71DE77D6" w14:textId="77777777" w:rsidR="00A50D37" w:rsidRPr="00DA1183" w:rsidRDefault="00A50D37" w:rsidP="00183955">
      <w:pPr>
        <w:tabs>
          <w:tab w:val="left" w:pos="567"/>
        </w:tabs>
        <w:ind w:left="567"/>
        <w:jc w:val="both"/>
        <w:rPr>
          <w:rFonts w:ascii="Times New Roman" w:hAnsi="Times New Roman"/>
          <w:sz w:val="22"/>
          <w:szCs w:val="22"/>
        </w:rPr>
      </w:pPr>
      <w:r w:rsidRPr="00DA1183">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0"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1A2BC4">
      <w:footerReference w:type="even" r:id="rId11"/>
      <w:footerReference w:type="default" r:id="rId12"/>
      <w:footerReference w:type="first" r:id="rId13"/>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18E9" w14:textId="77777777" w:rsidR="006E03A3" w:rsidRPr="006A5F84" w:rsidRDefault="006E03A3">
      <w:r w:rsidRPr="006A5F84">
        <w:separator/>
      </w:r>
    </w:p>
  </w:endnote>
  <w:endnote w:type="continuationSeparator" w:id="0">
    <w:p w14:paraId="521EBB32" w14:textId="77777777" w:rsidR="006E03A3" w:rsidRPr="006A5F84" w:rsidRDefault="006E03A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6E03A3" w:rsidRDefault="006E03A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6E03A3" w:rsidRDefault="006E03A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0F02620C" w:rsidR="006E03A3" w:rsidRPr="009423FB" w:rsidRDefault="006E03A3"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2346F2">
      <w:rPr>
        <w:rStyle w:val="PageNumber"/>
        <w:rFonts w:ascii="Times New Roman" w:hAnsi="Times New Roman"/>
        <w:noProof/>
        <w:sz w:val="18"/>
        <w:szCs w:val="18"/>
      </w:rPr>
      <w:t>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981B7C">
      <w:rPr>
        <w:rStyle w:val="PageNumber"/>
        <w:rFonts w:ascii="Times New Roman" w:hAnsi="Times New Roman"/>
        <w:sz w:val="18"/>
        <w:szCs w:val="18"/>
      </w:rPr>
      <w:t>16</w:t>
    </w:r>
  </w:p>
  <w:p w14:paraId="5D145687" w14:textId="0AF2A7F7" w:rsidR="006E03A3" w:rsidRDefault="006E03A3"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p w14:paraId="1A2261C2" w14:textId="530475A0" w:rsidR="00532CCE" w:rsidRPr="00866D7A" w:rsidRDefault="00532CCE" w:rsidP="009423FB">
    <w:pPr>
      <w:spacing w:before="0" w:after="0"/>
      <w:rPr>
        <w:rFonts w:ascii="Times New Roman" w:hAnsi="Times New Roman"/>
        <w:sz w:val="16"/>
        <w:szCs w:val="16"/>
      </w:rPr>
    </w:pPr>
    <w:r w:rsidRPr="00866D7A">
      <w:rPr>
        <w:rStyle w:val="FootnoteReference"/>
        <w:sz w:val="16"/>
        <w:szCs w:val="16"/>
      </w:rPr>
      <w:t>3</w:t>
    </w:r>
    <w:r w:rsidRPr="00866D7A">
      <w:rPr>
        <w:sz w:val="16"/>
        <w:szCs w:val="16"/>
      </w:rPr>
      <w:t xml:space="preserve"> The currency of tender shall be the currency of the contract and of payment.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6E03A3" w:rsidRPr="006A5F84" w:rsidRDefault="006E03A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6E03A3" w:rsidRPr="006A5F84" w:rsidRDefault="006E03A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F60B" w14:textId="77777777" w:rsidR="006E03A3" w:rsidRPr="006A5F84" w:rsidRDefault="006E03A3">
      <w:r w:rsidRPr="006A5F84">
        <w:separator/>
      </w:r>
    </w:p>
  </w:footnote>
  <w:footnote w:type="continuationSeparator" w:id="0">
    <w:p w14:paraId="6A8C2D47" w14:textId="77777777" w:rsidR="006E03A3" w:rsidRPr="006A5F84" w:rsidRDefault="006E03A3">
      <w:r w:rsidRPr="006A5F84">
        <w:continuationSeparator/>
      </w:r>
    </w:p>
  </w:footnote>
  <w:footnote w:id="1">
    <w:p w14:paraId="560440CD" w14:textId="77777777" w:rsidR="006E03A3" w:rsidRPr="00C348C0" w:rsidRDefault="006E03A3" w:rsidP="009956B4">
      <w:pPr>
        <w:pStyle w:val="FootnoteText"/>
        <w:spacing w:after="0"/>
        <w:jc w:val="both"/>
        <w:rPr>
          <w:lang w:val="en-GB"/>
        </w:rPr>
      </w:pPr>
      <w:r w:rsidRPr="006A5F84">
        <w:rPr>
          <w:rStyle w:val="FootnoteReference"/>
          <w:lang w:val="en-GB"/>
        </w:rPr>
        <w:footnoteRef/>
      </w:r>
      <w:r w:rsidRPr="00C348C0">
        <w:rPr>
          <w:lang w:val="en-GB"/>
        </w:rPr>
        <w:t xml:space="preserve"> </w:t>
      </w:r>
      <w:r w:rsidRPr="00C348C0">
        <w:rPr>
          <w:highlight w:val="yellow"/>
          <w:lang w:val="en-GB"/>
        </w:rPr>
        <w:t>DDP (Delivered Duty Paid)</w:t>
      </w:r>
      <w:r>
        <w:rPr>
          <w:highlight w:val="yellow"/>
          <w:lang w:val="en-GB"/>
        </w:rPr>
        <w:t xml:space="preserve"> </w:t>
      </w:r>
      <w:r w:rsidRPr="00C348C0">
        <w:rPr>
          <w:highlight w:val="yellow"/>
          <w:lang w:val="en-GB"/>
        </w:rPr>
        <w:t>/</w:t>
      </w:r>
      <w:r>
        <w:rPr>
          <w:highlight w:val="yellow"/>
          <w:lang w:val="en-GB"/>
        </w:rPr>
        <w:t xml:space="preserve"> </w:t>
      </w:r>
      <w:r w:rsidRPr="00C348C0">
        <w:rPr>
          <w:highlight w:val="yellow"/>
          <w:lang w:val="en-GB"/>
        </w:rPr>
        <w:t>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6E03A3" w:rsidRPr="00C348C0" w:rsidRDefault="006E03A3"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6E03A3" w:rsidRPr="00C348C0" w:rsidRDefault="006E03A3"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11ADA9BE" w14:textId="77777777" w:rsidR="006D3F6F" w:rsidRPr="00C348C0" w:rsidRDefault="006D3F6F" w:rsidP="006D3F6F">
      <w:pPr>
        <w:pStyle w:val="FootnoteText"/>
        <w:spacing w:after="0"/>
        <w:jc w:val="both"/>
        <w:rPr>
          <w:lang w:val="en-GB"/>
        </w:rPr>
      </w:pPr>
      <w:r w:rsidRPr="006A5F84">
        <w:rPr>
          <w:rStyle w:val="FootnoteReference"/>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2F8"/>
    <w:rsid w:val="000665DF"/>
    <w:rsid w:val="00066CBA"/>
    <w:rsid w:val="00070A30"/>
    <w:rsid w:val="000714BB"/>
    <w:rsid w:val="0007671B"/>
    <w:rsid w:val="00081AF8"/>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040A"/>
    <w:rsid w:val="000D1B17"/>
    <w:rsid w:val="000D1CDA"/>
    <w:rsid w:val="000D24E3"/>
    <w:rsid w:val="000D2B44"/>
    <w:rsid w:val="000D40DB"/>
    <w:rsid w:val="000D4A00"/>
    <w:rsid w:val="000D4C36"/>
    <w:rsid w:val="000D5F1B"/>
    <w:rsid w:val="000D66C0"/>
    <w:rsid w:val="000E0AE8"/>
    <w:rsid w:val="000E0DB4"/>
    <w:rsid w:val="000E291F"/>
    <w:rsid w:val="000E388F"/>
    <w:rsid w:val="000E77DD"/>
    <w:rsid w:val="000E7B75"/>
    <w:rsid w:val="000F124B"/>
    <w:rsid w:val="000F1339"/>
    <w:rsid w:val="000F1EA7"/>
    <w:rsid w:val="000F5F5F"/>
    <w:rsid w:val="00100085"/>
    <w:rsid w:val="00103348"/>
    <w:rsid w:val="00103913"/>
    <w:rsid w:val="00104B37"/>
    <w:rsid w:val="0010518E"/>
    <w:rsid w:val="001057F5"/>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071E"/>
    <w:rsid w:val="0014659F"/>
    <w:rsid w:val="00150767"/>
    <w:rsid w:val="001515E4"/>
    <w:rsid w:val="001536B3"/>
    <w:rsid w:val="00156114"/>
    <w:rsid w:val="00157C6D"/>
    <w:rsid w:val="00157DEE"/>
    <w:rsid w:val="00162097"/>
    <w:rsid w:val="001645AC"/>
    <w:rsid w:val="00164F15"/>
    <w:rsid w:val="00170AA7"/>
    <w:rsid w:val="001719EB"/>
    <w:rsid w:val="00171C45"/>
    <w:rsid w:val="00172E10"/>
    <w:rsid w:val="00174382"/>
    <w:rsid w:val="001744F6"/>
    <w:rsid w:val="001766D9"/>
    <w:rsid w:val="00177A3D"/>
    <w:rsid w:val="00181980"/>
    <w:rsid w:val="00182EF4"/>
    <w:rsid w:val="00183955"/>
    <w:rsid w:val="00184D00"/>
    <w:rsid w:val="0018518F"/>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196D"/>
    <w:rsid w:val="002346F2"/>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5A2E"/>
    <w:rsid w:val="002C649A"/>
    <w:rsid w:val="002C7223"/>
    <w:rsid w:val="002D0CE1"/>
    <w:rsid w:val="002D1FCC"/>
    <w:rsid w:val="002D2FC0"/>
    <w:rsid w:val="002D6EED"/>
    <w:rsid w:val="002E105B"/>
    <w:rsid w:val="002E1FB2"/>
    <w:rsid w:val="002E2ABC"/>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3F58"/>
    <w:rsid w:val="00335E06"/>
    <w:rsid w:val="003409B8"/>
    <w:rsid w:val="003411A3"/>
    <w:rsid w:val="00343102"/>
    <w:rsid w:val="0034393A"/>
    <w:rsid w:val="00345595"/>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374C"/>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1C8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3FE"/>
    <w:rsid w:val="004C35B5"/>
    <w:rsid w:val="004C5E11"/>
    <w:rsid w:val="004D20F9"/>
    <w:rsid w:val="004D2CFD"/>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2CCE"/>
    <w:rsid w:val="00533C8D"/>
    <w:rsid w:val="00535826"/>
    <w:rsid w:val="00536B4A"/>
    <w:rsid w:val="00537189"/>
    <w:rsid w:val="00542E0F"/>
    <w:rsid w:val="00545957"/>
    <w:rsid w:val="005507B3"/>
    <w:rsid w:val="00552278"/>
    <w:rsid w:val="00555BFC"/>
    <w:rsid w:val="00556923"/>
    <w:rsid w:val="005634B2"/>
    <w:rsid w:val="00570282"/>
    <w:rsid w:val="00575CB0"/>
    <w:rsid w:val="00580F0C"/>
    <w:rsid w:val="00582894"/>
    <w:rsid w:val="00586D6C"/>
    <w:rsid w:val="00587BC9"/>
    <w:rsid w:val="00591F23"/>
    <w:rsid w:val="005925B4"/>
    <w:rsid w:val="00593550"/>
    <w:rsid w:val="0059371A"/>
    <w:rsid w:val="005B2018"/>
    <w:rsid w:val="005B2646"/>
    <w:rsid w:val="005B35D7"/>
    <w:rsid w:val="005B75F7"/>
    <w:rsid w:val="005B767B"/>
    <w:rsid w:val="005C0EA1"/>
    <w:rsid w:val="005C1201"/>
    <w:rsid w:val="005C3558"/>
    <w:rsid w:val="005D72F7"/>
    <w:rsid w:val="005E0B76"/>
    <w:rsid w:val="005E2EE8"/>
    <w:rsid w:val="005E3A35"/>
    <w:rsid w:val="005F1EC7"/>
    <w:rsid w:val="005F1F05"/>
    <w:rsid w:val="005F3C51"/>
    <w:rsid w:val="005F3CFA"/>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0F33"/>
    <w:rsid w:val="0068247E"/>
    <w:rsid w:val="00682804"/>
    <w:rsid w:val="00684438"/>
    <w:rsid w:val="0069153C"/>
    <w:rsid w:val="00691664"/>
    <w:rsid w:val="006917B2"/>
    <w:rsid w:val="006919FF"/>
    <w:rsid w:val="00692095"/>
    <w:rsid w:val="00696FDD"/>
    <w:rsid w:val="006A5F84"/>
    <w:rsid w:val="006B0532"/>
    <w:rsid w:val="006B0AB1"/>
    <w:rsid w:val="006B3EAE"/>
    <w:rsid w:val="006B5B42"/>
    <w:rsid w:val="006C2F05"/>
    <w:rsid w:val="006C513D"/>
    <w:rsid w:val="006D3BA1"/>
    <w:rsid w:val="006D3F6F"/>
    <w:rsid w:val="006D4CEC"/>
    <w:rsid w:val="006E03A3"/>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26BA2"/>
    <w:rsid w:val="007307A9"/>
    <w:rsid w:val="00733488"/>
    <w:rsid w:val="0073450F"/>
    <w:rsid w:val="00740F25"/>
    <w:rsid w:val="007423EF"/>
    <w:rsid w:val="00742505"/>
    <w:rsid w:val="0075003E"/>
    <w:rsid w:val="0075170F"/>
    <w:rsid w:val="007531D2"/>
    <w:rsid w:val="007533EA"/>
    <w:rsid w:val="0075384B"/>
    <w:rsid w:val="00754D2B"/>
    <w:rsid w:val="007563BB"/>
    <w:rsid w:val="00756E23"/>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5474"/>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57B4C"/>
    <w:rsid w:val="00860749"/>
    <w:rsid w:val="008617F3"/>
    <w:rsid w:val="0086414D"/>
    <w:rsid w:val="00866D7A"/>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137B"/>
    <w:rsid w:val="008B2A9C"/>
    <w:rsid w:val="008C14A7"/>
    <w:rsid w:val="008C284B"/>
    <w:rsid w:val="008C4E79"/>
    <w:rsid w:val="008C5A40"/>
    <w:rsid w:val="008C5DAA"/>
    <w:rsid w:val="008C787A"/>
    <w:rsid w:val="008D0713"/>
    <w:rsid w:val="008D49E9"/>
    <w:rsid w:val="008D79A5"/>
    <w:rsid w:val="008E40E2"/>
    <w:rsid w:val="008E6D20"/>
    <w:rsid w:val="008E7470"/>
    <w:rsid w:val="008E7587"/>
    <w:rsid w:val="008F2E42"/>
    <w:rsid w:val="008F3866"/>
    <w:rsid w:val="008F3B55"/>
    <w:rsid w:val="008F3D27"/>
    <w:rsid w:val="0090086C"/>
    <w:rsid w:val="009018A4"/>
    <w:rsid w:val="009030B0"/>
    <w:rsid w:val="009143FD"/>
    <w:rsid w:val="00917D02"/>
    <w:rsid w:val="00920A51"/>
    <w:rsid w:val="00920DBC"/>
    <w:rsid w:val="00922542"/>
    <w:rsid w:val="009251E3"/>
    <w:rsid w:val="00930646"/>
    <w:rsid w:val="0093582A"/>
    <w:rsid w:val="00937E16"/>
    <w:rsid w:val="009423FB"/>
    <w:rsid w:val="00943C7B"/>
    <w:rsid w:val="0094670B"/>
    <w:rsid w:val="00947FC3"/>
    <w:rsid w:val="00950813"/>
    <w:rsid w:val="009514EC"/>
    <w:rsid w:val="00961615"/>
    <w:rsid w:val="00963503"/>
    <w:rsid w:val="00980A42"/>
    <w:rsid w:val="00981B7C"/>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36D2"/>
    <w:rsid w:val="009D5314"/>
    <w:rsid w:val="009D5CB2"/>
    <w:rsid w:val="009E04E4"/>
    <w:rsid w:val="009E48A3"/>
    <w:rsid w:val="009E4FC6"/>
    <w:rsid w:val="009E6BB7"/>
    <w:rsid w:val="009E7456"/>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234C"/>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482E"/>
    <w:rsid w:val="00BA70CB"/>
    <w:rsid w:val="00BB2075"/>
    <w:rsid w:val="00BB24CB"/>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6375"/>
    <w:rsid w:val="00C17310"/>
    <w:rsid w:val="00C17EA3"/>
    <w:rsid w:val="00C239B0"/>
    <w:rsid w:val="00C24AB5"/>
    <w:rsid w:val="00C255E8"/>
    <w:rsid w:val="00C302E1"/>
    <w:rsid w:val="00C3235B"/>
    <w:rsid w:val="00C348C0"/>
    <w:rsid w:val="00C34E40"/>
    <w:rsid w:val="00C350C3"/>
    <w:rsid w:val="00C41328"/>
    <w:rsid w:val="00C413E2"/>
    <w:rsid w:val="00C41919"/>
    <w:rsid w:val="00C42CAE"/>
    <w:rsid w:val="00C53475"/>
    <w:rsid w:val="00C5382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19AA"/>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0A0"/>
    <w:rsid w:val="00D93F90"/>
    <w:rsid w:val="00D950BA"/>
    <w:rsid w:val="00D979C6"/>
    <w:rsid w:val="00D97FDC"/>
    <w:rsid w:val="00DA1183"/>
    <w:rsid w:val="00DA4AB8"/>
    <w:rsid w:val="00DA4D57"/>
    <w:rsid w:val="00DB5F3B"/>
    <w:rsid w:val="00DB7EEF"/>
    <w:rsid w:val="00DC049B"/>
    <w:rsid w:val="00DC50E2"/>
    <w:rsid w:val="00DC54A0"/>
    <w:rsid w:val="00DC6C9C"/>
    <w:rsid w:val="00DC7EB2"/>
    <w:rsid w:val="00DD005F"/>
    <w:rsid w:val="00DD0624"/>
    <w:rsid w:val="00DD13B0"/>
    <w:rsid w:val="00DD61E1"/>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4F"/>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170F"/>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76469"/>
    <w:rsid w:val="00E80269"/>
    <w:rsid w:val="00E811F3"/>
    <w:rsid w:val="00E82463"/>
    <w:rsid w:val="00E84351"/>
    <w:rsid w:val="00E84F50"/>
    <w:rsid w:val="00E85F91"/>
    <w:rsid w:val="00E94212"/>
    <w:rsid w:val="00E96D0F"/>
    <w:rsid w:val="00EA1ADC"/>
    <w:rsid w:val="00EA23A7"/>
    <w:rsid w:val="00EA3530"/>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26040"/>
    <w:rsid w:val="00F33A99"/>
    <w:rsid w:val="00F35DE1"/>
    <w:rsid w:val="00F40E0E"/>
    <w:rsid w:val="00F44403"/>
    <w:rsid w:val="00F45106"/>
    <w:rsid w:val="00F4528C"/>
    <w:rsid w:val="00F5422C"/>
    <w:rsid w:val="00F560DD"/>
    <w:rsid w:val="00F56D4C"/>
    <w:rsid w:val="00F63914"/>
    <w:rsid w:val="00F63D81"/>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3004"/>
    <w:rsid w:val="00F953EB"/>
    <w:rsid w:val="00F962E3"/>
    <w:rsid w:val="00F973FC"/>
    <w:rsid w:val="00FA3359"/>
    <w:rsid w:val="00FA3F66"/>
    <w:rsid w:val="00FA73A6"/>
    <w:rsid w:val="00FA7BA5"/>
    <w:rsid w:val="00FB07E0"/>
    <w:rsid w:val="00FB1FCF"/>
    <w:rsid w:val="00FB2706"/>
    <w:rsid w:val="00FB3374"/>
    <w:rsid w:val="00FB5AD4"/>
    <w:rsid w:val="00FB67DE"/>
    <w:rsid w:val="00FB73F9"/>
    <w:rsid w:val="00FC6A15"/>
    <w:rsid w:val="00FC6AA4"/>
    <w:rsid w:val="00FD23CD"/>
    <w:rsid w:val="00FD4F5A"/>
    <w:rsid w:val="00FD68B9"/>
    <w:rsid w:val="00FD6CB9"/>
    <w:rsid w:val="00FD7D89"/>
    <w:rsid w:val="00FE3081"/>
    <w:rsid w:val="00FE3E3B"/>
    <w:rsid w:val="00FE5663"/>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D587-5B1B-45A5-A1C2-79DCE9A1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2531</TotalTime>
  <Pages>16</Pages>
  <Words>4979</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33294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Nataša Milosavljević Žeželj</cp:lastModifiedBy>
  <cp:revision>239</cp:revision>
  <cp:lastPrinted>2018-04-13T13:21:00Z</cp:lastPrinted>
  <dcterms:created xsi:type="dcterms:W3CDTF">2018-12-18T11:39:00Z</dcterms:created>
  <dcterms:modified xsi:type="dcterms:W3CDTF">2023-11-09T10:55:00Z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